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4D8E9" w14:textId="1529389E" w:rsidR="00EB3248" w:rsidRPr="00733098" w:rsidRDefault="009D438D" w:rsidP="00EB32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587B68">
        <w:rPr>
          <w:rFonts w:ascii="Arial" w:eastAsia="바탕" w:hAnsi="Arial" w:cs="Arial"/>
          <w:b/>
          <w:bCs/>
          <w:sz w:val="24"/>
          <w:szCs w:val="24"/>
        </w:rPr>
        <w:t>3GPP TSG RAN WG1 #98</w:t>
      </w:r>
      <w:r w:rsidR="00EB3248" w:rsidRPr="00733098">
        <w:rPr>
          <w:rFonts w:ascii="Arial" w:hAnsi="Arial" w:cs="Arial"/>
          <w:b/>
          <w:bCs/>
          <w:sz w:val="24"/>
          <w:szCs w:val="24"/>
          <w:lang w:eastAsia="ja-JP"/>
        </w:rPr>
        <w:tab/>
      </w:r>
      <w:r w:rsidR="00EB3248" w:rsidRPr="00733098">
        <w:rPr>
          <w:rFonts w:ascii="Arial" w:hAnsi="Arial" w:cs="Arial"/>
          <w:b/>
          <w:bCs/>
          <w:sz w:val="24"/>
          <w:szCs w:val="24"/>
          <w:lang w:eastAsia="ja-JP"/>
        </w:rPr>
        <w:tab/>
      </w:r>
      <w:r w:rsidR="00EB3248" w:rsidRPr="00733098">
        <w:rPr>
          <w:rFonts w:ascii="Arial" w:hAnsi="Arial" w:cs="Arial"/>
          <w:b/>
          <w:bCs/>
          <w:sz w:val="24"/>
          <w:szCs w:val="24"/>
          <w:lang w:eastAsia="ja-JP"/>
        </w:rPr>
        <w:tab/>
      </w:r>
      <w:r w:rsidR="00EB3248" w:rsidRPr="00AD55AB">
        <w:rPr>
          <w:rFonts w:ascii="Arial" w:eastAsia="맑은 고딕" w:hAnsi="Arial" w:cs="Arial"/>
          <w:b/>
          <w:bCs/>
          <w:sz w:val="24"/>
          <w:szCs w:val="24"/>
          <w:lang w:eastAsia="ko-KR"/>
        </w:rPr>
        <w:t>R1-19</w:t>
      </w:r>
      <w:r w:rsidR="000A4A82" w:rsidRPr="000A4A82">
        <w:rPr>
          <w:rFonts w:ascii="Arial" w:eastAsia="맑은 고딕" w:hAnsi="Arial" w:cs="Arial"/>
          <w:b/>
          <w:bCs/>
          <w:sz w:val="24"/>
          <w:szCs w:val="24"/>
          <w:lang w:eastAsia="ko-KR"/>
        </w:rPr>
        <w:t>08526</w:t>
      </w:r>
    </w:p>
    <w:p w14:paraId="70F25F8C" w14:textId="495634B2" w:rsidR="00EB3248" w:rsidRPr="00191261" w:rsidRDefault="009D438D" w:rsidP="00EB3248">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587B68">
        <w:rPr>
          <w:rFonts w:ascii="Arial" w:hAnsi="Arial" w:cs="Arial"/>
          <w:b/>
          <w:bCs/>
          <w:sz w:val="24"/>
          <w:lang w:eastAsia="ja-JP"/>
        </w:rPr>
        <w:t>Prague, CZ, August 26</w:t>
      </w:r>
      <w:r w:rsidRPr="00587B68">
        <w:rPr>
          <w:rFonts w:ascii="Arial" w:hAnsi="Arial" w:cs="Arial"/>
          <w:b/>
          <w:bCs/>
          <w:sz w:val="24"/>
          <w:vertAlign w:val="superscript"/>
          <w:lang w:eastAsia="ja-JP"/>
        </w:rPr>
        <w:t>th</w:t>
      </w:r>
      <w:r w:rsidRPr="00587B68">
        <w:rPr>
          <w:rFonts w:ascii="Arial" w:hAnsi="Arial" w:cs="Arial"/>
          <w:b/>
          <w:bCs/>
          <w:sz w:val="24"/>
          <w:lang w:eastAsia="ja-JP"/>
        </w:rPr>
        <w:t xml:space="preserve"> – 30</w:t>
      </w:r>
      <w:r w:rsidRPr="00587B68">
        <w:rPr>
          <w:rFonts w:ascii="Arial" w:hAnsi="Arial" w:cs="Arial"/>
          <w:b/>
          <w:bCs/>
          <w:sz w:val="24"/>
          <w:vertAlign w:val="superscript"/>
          <w:lang w:eastAsia="ja-JP"/>
        </w:rPr>
        <w:t>th</w:t>
      </w:r>
      <w:r w:rsidRPr="00587B68">
        <w:rPr>
          <w:rFonts w:ascii="Arial" w:hAnsi="Arial" w:cs="Arial"/>
          <w:b/>
          <w:bCs/>
          <w:sz w:val="24"/>
          <w:lang w:eastAsia="ja-JP"/>
        </w:rPr>
        <w:t>, 2019</w:t>
      </w:r>
    </w:p>
    <w:p w14:paraId="1A936593"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3AC8522" w14:textId="77777777" w:rsidR="00C238EE" w:rsidRPr="00DF58FE" w:rsidRDefault="003C5E2A" w:rsidP="00634235">
      <w:pPr>
        <w:tabs>
          <w:tab w:val="left" w:pos="1985"/>
        </w:tabs>
        <w:spacing w:after="0"/>
        <w:ind w:left="0" w:firstLine="0"/>
        <w:rPr>
          <w:rFonts w:ascii="Arial" w:eastAsia="바탕" w:hAnsi="Arial"/>
          <w:sz w:val="24"/>
          <w:lang w:val="en-US" w:eastAsia="ko-KR"/>
        </w:rPr>
      </w:pPr>
      <w:r w:rsidRPr="00DF58FE">
        <w:rPr>
          <w:rFonts w:ascii="Arial" w:hAnsi="Arial"/>
          <w:b/>
          <w:sz w:val="24"/>
          <w:lang w:val="en-US"/>
        </w:rPr>
        <w:t>Agenda Item:</w:t>
      </w:r>
      <w:r w:rsidRPr="00080F42">
        <w:rPr>
          <w:rFonts w:ascii="Arial" w:hAnsi="Arial"/>
          <w:sz w:val="24"/>
          <w:lang w:val="en-US"/>
        </w:rPr>
        <w:tab/>
      </w:r>
      <w:r w:rsidR="00A4635A" w:rsidRPr="007E7F4D">
        <w:rPr>
          <w:rFonts w:ascii="Arial" w:eastAsia="맑은 고딕" w:hAnsi="Arial"/>
          <w:sz w:val="24"/>
          <w:lang w:val="en-US" w:eastAsia="ko-KR"/>
        </w:rPr>
        <w:t>6.2.</w:t>
      </w:r>
      <w:r w:rsidR="00E8791E" w:rsidRPr="007E7F4D">
        <w:rPr>
          <w:rFonts w:ascii="Arial" w:eastAsia="맑은 고딕" w:hAnsi="Arial"/>
          <w:sz w:val="24"/>
          <w:lang w:val="en-US" w:eastAsia="ko-KR"/>
        </w:rPr>
        <w:t>1</w:t>
      </w:r>
      <w:r w:rsidR="00A4635A" w:rsidRPr="007E7F4D">
        <w:rPr>
          <w:rFonts w:ascii="Arial" w:eastAsia="맑은 고딕" w:hAnsi="Arial"/>
          <w:sz w:val="24"/>
          <w:lang w:val="en-US" w:eastAsia="ko-KR"/>
        </w:rPr>
        <w:t>.</w:t>
      </w:r>
      <w:r w:rsidR="00494387" w:rsidRPr="007E7F4D">
        <w:rPr>
          <w:rFonts w:ascii="Arial" w:eastAsia="맑은 고딕" w:hAnsi="Arial"/>
          <w:sz w:val="24"/>
          <w:lang w:val="en-US" w:eastAsia="ko-KR"/>
        </w:rPr>
        <w:t>8</w:t>
      </w:r>
    </w:p>
    <w:p w14:paraId="2C7C1CD4"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306AC2B0"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94387" w:rsidRPr="00494387">
        <w:rPr>
          <w:rFonts w:ascii="Arial" w:hAnsi="Arial"/>
          <w:sz w:val="24"/>
        </w:rPr>
        <w:t>On the use of LTE control channel region for LTE-MTC DL transmission</w:t>
      </w:r>
    </w:p>
    <w:p w14:paraId="0ABBB355"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DDB6BBD"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45C123C7" w14:textId="77777777" w:rsidR="00782F4C" w:rsidRDefault="00782F4C"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080F42">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enhancements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080F42">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1D865546" w14:textId="77777777" w:rsidR="002E4F45" w:rsidRPr="002E4F45" w:rsidRDefault="00A206C0" w:rsidP="002E4F45">
      <w:pPr>
        <w:spacing w:before="120" w:after="240" w:line="240" w:lineRule="auto"/>
        <w:ind w:left="0" w:firstLineChars="100" w:firstLine="220"/>
        <w:rPr>
          <w:rFonts w:eastAsia="맑은 고딕"/>
          <w:b/>
          <w:kern w:val="2"/>
          <w:sz w:val="22"/>
          <w:szCs w:val="22"/>
          <w:u w:val="single"/>
          <w:lang w:eastAsia="ko-KR"/>
        </w:rPr>
      </w:pPr>
      <w:r w:rsidRPr="00A206C0">
        <w:rPr>
          <w:rFonts w:eastAsia="맑은 고딕"/>
          <w:b/>
          <w:kern w:val="2"/>
          <w:sz w:val="22"/>
          <w:szCs w:val="22"/>
          <w:u w:val="single"/>
          <w:lang w:eastAsia="ko-KR"/>
        </w:rPr>
        <w:t>Stand-alone deployment:</w:t>
      </w:r>
    </w:p>
    <w:p w14:paraId="458218F3" w14:textId="77777777" w:rsidR="00A206C0" w:rsidRDefault="00A206C0" w:rsidP="00634E41">
      <w:pPr>
        <w:numPr>
          <w:ilvl w:val="0"/>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Enable the use of LTE control channel region for DL transmission (MPDCCH/PDSCH) to BL/CE UEs [RAN1, RAN2, RAN4]</w:t>
      </w:r>
    </w:p>
    <w:p w14:paraId="2B03F6CC" w14:textId="77777777" w:rsidR="002E4F45" w:rsidRPr="002E4F45" w:rsidRDefault="00A206C0" w:rsidP="00A206C0">
      <w:pPr>
        <w:numPr>
          <w:ilvl w:val="1"/>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This deployment mode should support legacy operation for legacy BL/CE UEs.</w:t>
      </w:r>
    </w:p>
    <w:p w14:paraId="5E477C07" w14:textId="5B198C8B" w:rsidR="009D438D" w:rsidRPr="00010851" w:rsidRDefault="009D438D" w:rsidP="009D438D">
      <w:pPr>
        <w:spacing w:before="120" w:after="240" w:line="240" w:lineRule="auto"/>
        <w:ind w:left="0" w:firstLine="0"/>
        <w:rPr>
          <w:rFonts w:eastAsiaTheme="minorEastAsia"/>
          <w:lang w:eastAsia="ko-KR"/>
        </w:rPr>
      </w:pPr>
      <w:r>
        <w:rPr>
          <w:rFonts w:eastAsia="맑은 고딕"/>
          <w:kern w:val="2"/>
          <w:sz w:val="22"/>
          <w:szCs w:val="22"/>
          <w:lang w:eastAsia="ko-KR"/>
        </w:rPr>
        <w:t xml:space="preserve">In this contribution, we discuss </w:t>
      </w:r>
      <w:r w:rsidR="00CB1ED9">
        <w:rPr>
          <w:rFonts w:eastAsia="맑은 고딕"/>
          <w:kern w:val="2"/>
          <w:sz w:val="22"/>
          <w:szCs w:val="22"/>
          <w:lang w:eastAsia="ko-KR"/>
        </w:rPr>
        <w:t>remaining issues</w:t>
      </w:r>
      <w:r>
        <w:rPr>
          <w:rFonts w:eastAsia="맑은 고딕"/>
          <w:kern w:val="2"/>
          <w:sz w:val="22"/>
          <w:szCs w:val="22"/>
          <w:lang w:eastAsia="ko-KR"/>
        </w:rPr>
        <w:t xml:space="preserve"> of MPDCCH/PDSCH RE mapping.</w:t>
      </w:r>
    </w:p>
    <w:p w14:paraId="5CE3BC35" w14:textId="4E663BC3"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5EEFFEA6" w14:textId="3A33C887" w:rsidR="00110C2A" w:rsidRDefault="00E33229" w:rsidP="00B64105">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 xml:space="preserve">RE mapping </w:t>
      </w:r>
      <w:r w:rsidR="00086DD2">
        <w:rPr>
          <w:rFonts w:eastAsia="맑은 고딕"/>
          <w:b/>
          <w:kern w:val="2"/>
          <w:sz w:val="24"/>
          <w:szCs w:val="22"/>
          <w:lang w:val="en-US" w:eastAsia="ko-KR"/>
        </w:rPr>
        <w:t>for MPDCCH</w:t>
      </w:r>
    </w:p>
    <w:p w14:paraId="17B11B8B" w14:textId="6CC8703B" w:rsidR="00300B27" w:rsidRDefault="00CB1ED9"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In RAN1#97 meeting, </w:t>
      </w:r>
      <w:r w:rsidR="007421DA">
        <w:rPr>
          <w:rFonts w:eastAsia="맑은 고딕"/>
          <w:kern w:val="2"/>
          <w:sz w:val="22"/>
          <w:szCs w:val="22"/>
          <w:lang w:val="en-US" w:eastAsia="ko-KR"/>
        </w:rPr>
        <w:t>t</w:t>
      </w:r>
      <w:r>
        <w:rPr>
          <w:rFonts w:eastAsia="맑은 고딕"/>
          <w:kern w:val="2"/>
          <w:sz w:val="22"/>
          <w:szCs w:val="22"/>
          <w:lang w:val="en-US" w:eastAsia="ko-KR"/>
        </w:rPr>
        <w:t>he basic principle of MPDCCH RE mapping</w:t>
      </w:r>
      <w:r w:rsidR="007421DA">
        <w:rPr>
          <w:rFonts w:eastAsia="맑은 고딕"/>
          <w:kern w:val="2"/>
          <w:sz w:val="22"/>
          <w:szCs w:val="22"/>
          <w:lang w:val="en-US" w:eastAsia="ko-KR"/>
        </w:rPr>
        <w:t xml:space="preserve"> was agreed with an FFS for the TDD special subframe. The agreement is copied below for convenience</w:t>
      </w:r>
      <w:r>
        <w:rPr>
          <w:rFonts w:eastAsia="맑은 고딕"/>
          <w:kern w:val="2"/>
          <w:sz w:val="22"/>
          <w:szCs w:val="22"/>
          <w:lang w:val="en-US" w:eastAsia="ko-KR"/>
        </w:rPr>
        <w:t>.</w:t>
      </w:r>
    </w:p>
    <w:tbl>
      <w:tblPr>
        <w:tblStyle w:val="a6"/>
        <w:tblW w:w="0" w:type="auto"/>
        <w:tblLook w:val="04A0" w:firstRow="1" w:lastRow="0" w:firstColumn="1" w:lastColumn="0" w:noHBand="0" w:noVBand="1"/>
      </w:tblPr>
      <w:tblGrid>
        <w:gridCol w:w="9628"/>
      </w:tblGrid>
      <w:tr w:rsidR="00300B27" w14:paraId="5678403D" w14:textId="77777777" w:rsidTr="00300B27">
        <w:tc>
          <w:tcPr>
            <w:tcW w:w="9628" w:type="dxa"/>
          </w:tcPr>
          <w:p w14:paraId="6B185A8B" w14:textId="77777777" w:rsidR="00CB1ED9" w:rsidRPr="00CB1ED9" w:rsidRDefault="00CB1ED9" w:rsidP="00CB1ED9">
            <w:pPr>
              <w:spacing w:before="0" w:after="0" w:line="240" w:lineRule="auto"/>
              <w:ind w:left="0" w:firstLine="0"/>
              <w:rPr>
                <w:rFonts w:ascii="Times" w:eastAsia="바탕" w:hAnsi="Times"/>
                <w:b/>
                <w:bCs/>
                <w:noProof/>
                <w:szCs w:val="24"/>
                <w:highlight w:val="green"/>
                <w:lang w:val="en-US" w:eastAsia="en-GB"/>
              </w:rPr>
            </w:pPr>
            <w:r w:rsidRPr="00CB1ED9">
              <w:rPr>
                <w:rFonts w:ascii="Times" w:eastAsia="바탕" w:hAnsi="Times"/>
                <w:b/>
                <w:bCs/>
                <w:noProof/>
                <w:szCs w:val="24"/>
                <w:highlight w:val="green"/>
                <w:lang w:val="en-US" w:eastAsia="en-GB"/>
              </w:rPr>
              <w:t>Agreement</w:t>
            </w:r>
          </w:p>
          <w:p w14:paraId="31078389" w14:textId="77777777" w:rsidR="00CB1ED9" w:rsidRPr="00CB1ED9" w:rsidRDefault="00CB1ED9" w:rsidP="00CB1ED9">
            <w:pPr>
              <w:numPr>
                <w:ilvl w:val="0"/>
                <w:numId w:val="42"/>
              </w:numPr>
              <w:tabs>
                <w:tab w:val="num" w:pos="426"/>
              </w:tabs>
              <w:autoSpaceDN w:val="0"/>
              <w:spacing w:before="0" w:after="0" w:line="240" w:lineRule="auto"/>
              <w:ind w:left="426" w:hanging="426"/>
              <w:jc w:val="left"/>
              <w:rPr>
                <w:rFonts w:ascii="Times" w:eastAsia="Times New Roman" w:hAnsi="Times"/>
                <w:szCs w:val="24"/>
              </w:rPr>
            </w:pPr>
            <w:r w:rsidRPr="00CB1ED9">
              <w:rPr>
                <w:rFonts w:ascii="Times" w:eastAsia="바탕" w:hAnsi="Times" w:cs="Times"/>
                <w:szCs w:val="24"/>
                <w:lang w:val="en-CA"/>
              </w:rPr>
              <w:t>For MPDCCH mapping, a fixed mapping in time is used. The resource elements used for MPDCCH in the</w:t>
            </w:r>
            <w:r w:rsidRPr="00CB1ED9">
              <w:rPr>
                <w:rFonts w:ascii="Times" w:eastAsia="바탕" w:hAnsi="Times"/>
                <w:szCs w:val="24"/>
              </w:rPr>
              <w:t xml:space="preserve"> first </w:t>
            </w:r>
            <w:r w:rsidRPr="00CB1ED9">
              <w:rPr>
                <w:rFonts w:ascii="Times" w:eastAsia="바탕" w:hAnsi="Times"/>
                <w:i/>
                <w:szCs w:val="24"/>
              </w:rPr>
              <w:t>l</w:t>
            </w:r>
            <w:r w:rsidRPr="00CB1ED9">
              <w:rPr>
                <w:rFonts w:ascii="Times" w:eastAsia="바탕" w:hAnsi="Times"/>
                <w:i/>
                <w:szCs w:val="24"/>
                <w:vertAlign w:val="subscript"/>
              </w:rPr>
              <w:t>MPDCCHStart</w:t>
            </w:r>
            <w:r w:rsidRPr="00CB1ED9">
              <w:rPr>
                <w:rFonts w:ascii="Times" w:eastAsia="바탕" w:hAnsi="Times"/>
                <w:szCs w:val="24"/>
              </w:rPr>
              <w:t xml:space="preserve"> </w:t>
            </w:r>
            <w:r w:rsidRPr="00CB1ED9">
              <w:rPr>
                <w:rFonts w:ascii="Times" w:eastAsia="Times New Roman" w:hAnsi="Times"/>
                <w:szCs w:val="24"/>
              </w:rPr>
              <w:t>symbols in the second slot are copied into the first</w:t>
            </w:r>
            <w:r w:rsidRPr="00CB1ED9">
              <w:rPr>
                <w:rFonts w:ascii="Times" w:eastAsia="바탕" w:hAnsi="Times"/>
                <w:i/>
                <w:szCs w:val="24"/>
              </w:rPr>
              <w:t xml:space="preserve"> l</w:t>
            </w:r>
            <w:r w:rsidRPr="00CB1ED9">
              <w:rPr>
                <w:rFonts w:ascii="Times" w:eastAsia="바탕" w:hAnsi="Times"/>
                <w:i/>
                <w:szCs w:val="24"/>
                <w:vertAlign w:val="subscript"/>
              </w:rPr>
              <w:t>MPDCCHStart</w:t>
            </w:r>
            <w:r w:rsidRPr="00CB1ED9">
              <w:rPr>
                <w:rFonts w:ascii="Times" w:eastAsia="바탕" w:hAnsi="Times"/>
                <w:szCs w:val="24"/>
              </w:rPr>
              <w:t xml:space="preserve"> </w:t>
            </w:r>
            <w:r w:rsidRPr="00CB1ED9">
              <w:rPr>
                <w:rFonts w:ascii="Times" w:eastAsia="Times New Roman" w:hAnsi="Times"/>
                <w:szCs w:val="24"/>
              </w:rPr>
              <w:t>symbols in the first slot.</w:t>
            </w:r>
          </w:p>
          <w:p w14:paraId="3BCD851B" w14:textId="17EBC0DC" w:rsidR="00300B27" w:rsidRPr="00EB60CC" w:rsidRDefault="00CB1ED9" w:rsidP="00EB60CC">
            <w:pPr>
              <w:numPr>
                <w:ilvl w:val="0"/>
                <w:numId w:val="41"/>
              </w:numPr>
              <w:spacing w:before="0" w:after="0" w:line="240" w:lineRule="auto"/>
              <w:jc w:val="left"/>
              <w:rPr>
                <w:rFonts w:ascii="Times" w:eastAsia="바탕" w:hAnsi="Times"/>
                <w:szCs w:val="24"/>
              </w:rPr>
            </w:pPr>
            <w:r w:rsidRPr="00CB1ED9">
              <w:rPr>
                <w:rFonts w:ascii="Times" w:eastAsia="바탕" w:hAnsi="Times"/>
                <w:bCs/>
                <w:noProof/>
                <w:szCs w:val="24"/>
                <w:lang w:val="en-US" w:eastAsia="en-GB"/>
              </w:rPr>
              <w:t>FFS: further MPDCCH mapping for TDD special subframes</w:t>
            </w:r>
          </w:p>
        </w:tc>
      </w:tr>
    </w:tbl>
    <w:p w14:paraId="01A5596D" w14:textId="7376587A" w:rsidR="001C1CEE" w:rsidRDefault="00300B27" w:rsidP="00010851">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As we understand it, </w:t>
      </w:r>
      <w:r w:rsidR="007421DA">
        <w:rPr>
          <w:rFonts w:eastAsia="맑은 고딕"/>
          <w:kern w:val="2"/>
          <w:sz w:val="22"/>
          <w:szCs w:val="22"/>
          <w:lang w:eastAsia="ko-KR"/>
        </w:rPr>
        <w:t>the FFS</w:t>
      </w:r>
      <w:r w:rsidR="009D2220">
        <w:rPr>
          <w:rFonts w:eastAsia="맑은 고딕"/>
          <w:kern w:val="2"/>
          <w:sz w:val="22"/>
          <w:szCs w:val="22"/>
          <w:lang w:eastAsia="ko-KR"/>
        </w:rPr>
        <w:t xml:space="preserve"> above</w:t>
      </w:r>
      <w:r w:rsidR="007421DA">
        <w:rPr>
          <w:rFonts w:eastAsia="맑은 고딕"/>
          <w:kern w:val="2"/>
          <w:sz w:val="22"/>
          <w:szCs w:val="22"/>
          <w:lang w:eastAsia="ko-KR"/>
        </w:rPr>
        <w:t xml:space="preserve"> was made </w:t>
      </w:r>
      <w:r>
        <w:rPr>
          <w:rFonts w:eastAsia="맑은 고딕" w:hint="eastAsia"/>
          <w:kern w:val="2"/>
          <w:sz w:val="22"/>
          <w:szCs w:val="22"/>
          <w:lang w:eastAsia="ko-KR"/>
        </w:rPr>
        <w:t>because</w:t>
      </w:r>
      <w:r w:rsidR="007421DA">
        <w:rPr>
          <w:rFonts w:eastAsia="맑은 고딕"/>
          <w:kern w:val="2"/>
          <w:sz w:val="22"/>
          <w:szCs w:val="22"/>
          <w:lang w:eastAsia="ko-KR"/>
        </w:rPr>
        <w:t xml:space="preserve"> for TDD special subframes 9 and 10, the basic principle cannot be applied as it is</w:t>
      </w:r>
      <w:r w:rsidR="00D117B3">
        <w:rPr>
          <w:rFonts w:eastAsia="맑은 고딕"/>
          <w:kern w:val="2"/>
          <w:sz w:val="22"/>
          <w:szCs w:val="22"/>
          <w:lang w:eastAsia="ko-KR"/>
        </w:rPr>
        <w:t xml:space="preserve">. And that is </w:t>
      </w:r>
      <w:r w:rsidR="007421DA">
        <w:rPr>
          <w:rFonts w:eastAsia="맑은 고딕"/>
          <w:kern w:val="2"/>
          <w:sz w:val="22"/>
          <w:szCs w:val="22"/>
          <w:lang w:eastAsia="ko-KR"/>
        </w:rPr>
        <w:t>because there is no downlink symbol</w:t>
      </w:r>
      <w:r w:rsidR="001C1CEE">
        <w:rPr>
          <w:rFonts w:eastAsia="맑은 고딕"/>
          <w:kern w:val="2"/>
          <w:sz w:val="22"/>
          <w:szCs w:val="22"/>
          <w:lang w:eastAsia="ko-KR"/>
        </w:rPr>
        <w:t xml:space="preserve"> to copy from</w:t>
      </w:r>
      <w:r w:rsidR="007421DA">
        <w:rPr>
          <w:rFonts w:eastAsia="맑은 고딕"/>
          <w:kern w:val="2"/>
          <w:sz w:val="22"/>
          <w:szCs w:val="22"/>
          <w:lang w:eastAsia="ko-KR"/>
        </w:rPr>
        <w:t xml:space="preserve"> in the second slot</w:t>
      </w:r>
      <w:r w:rsidR="001C1CEE">
        <w:rPr>
          <w:rFonts w:eastAsia="맑은 고딕"/>
          <w:kern w:val="2"/>
          <w:sz w:val="22"/>
          <w:szCs w:val="22"/>
          <w:lang w:eastAsia="ko-KR"/>
        </w:rPr>
        <w:t xml:space="preserve">. So this is clearly an issue. Another </w:t>
      </w:r>
      <w:r w:rsidR="009D2220">
        <w:rPr>
          <w:rFonts w:eastAsia="맑은 고딕"/>
          <w:kern w:val="2"/>
          <w:sz w:val="22"/>
          <w:szCs w:val="22"/>
          <w:lang w:eastAsia="ko-KR"/>
        </w:rPr>
        <w:t>issue that led to the working assumption as shown below was whether or not the special subframe usage for MPDCCH/PDSCH transmission in LTE control region is the same as Rel-13.</w:t>
      </w:r>
      <w:r w:rsidR="00A23FCE">
        <w:rPr>
          <w:rFonts w:eastAsia="맑은 고딕"/>
          <w:kern w:val="2"/>
          <w:sz w:val="22"/>
          <w:szCs w:val="22"/>
          <w:lang w:eastAsia="ko-KR"/>
        </w:rPr>
        <w:t xml:space="preserve"> </w:t>
      </w:r>
    </w:p>
    <w:tbl>
      <w:tblPr>
        <w:tblStyle w:val="a6"/>
        <w:tblW w:w="0" w:type="auto"/>
        <w:tblLook w:val="04A0" w:firstRow="1" w:lastRow="0" w:firstColumn="1" w:lastColumn="0" w:noHBand="0" w:noVBand="1"/>
      </w:tblPr>
      <w:tblGrid>
        <w:gridCol w:w="9628"/>
      </w:tblGrid>
      <w:tr w:rsidR="001C1CEE" w14:paraId="6A23E29F" w14:textId="77777777" w:rsidTr="00CA3A48">
        <w:tc>
          <w:tcPr>
            <w:tcW w:w="9628" w:type="dxa"/>
          </w:tcPr>
          <w:p w14:paraId="31D75BCB" w14:textId="77777777" w:rsidR="001C1CEE" w:rsidRPr="00D960E8" w:rsidRDefault="001C1CEE" w:rsidP="001C1CEE">
            <w:pPr>
              <w:spacing w:after="0" w:line="240" w:lineRule="auto"/>
              <w:ind w:left="0" w:firstLine="0"/>
              <w:jc w:val="left"/>
              <w:rPr>
                <w:rFonts w:eastAsia="바탕"/>
                <w:b/>
                <w:bCs/>
                <w:noProof/>
                <w:szCs w:val="24"/>
                <w:highlight w:val="darkYellow"/>
                <w:lang w:eastAsia="en-GB"/>
              </w:rPr>
            </w:pPr>
            <w:r w:rsidRPr="00D960E8">
              <w:rPr>
                <w:rFonts w:eastAsia="바탕"/>
                <w:b/>
                <w:bCs/>
                <w:noProof/>
                <w:szCs w:val="24"/>
                <w:highlight w:val="darkYellow"/>
                <w:lang w:eastAsia="en-GB"/>
              </w:rPr>
              <w:t>Working Assumption</w:t>
            </w:r>
          </w:p>
          <w:p w14:paraId="5B4466AD" w14:textId="67FD9717" w:rsidR="001C1CEE" w:rsidRPr="00EB60CC" w:rsidRDefault="001C1CEE" w:rsidP="00EB60CC">
            <w:pPr>
              <w:spacing w:after="0" w:line="240" w:lineRule="auto"/>
              <w:ind w:left="0" w:firstLine="0"/>
              <w:jc w:val="left"/>
              <w:rPr>
                <w:rFonts w:eastAsia="바탕"/>
                <w:bCs/>
                <w:noProof/>
                <w:szCs w:val="24"/>
                <w:lang w:eastAsia="en-GB"/>
              </w:rPr>
            </w:pPr>
            <w:r w:rsidRPr="00D960E8">
              <w:rPr>
                <w:rFonts w:eastAsia="바탕"/>
                <w:bCs/>
                <w:noProof/>
                <w:szCs w:val="24"/>
                <w:lang w:eastAsia="en-GB"/>
              </w:rPr>
              <w:t>For MPDCCH/PDSCH transmission in LTE control region, the special subframe usage is the same as Rel-13.</w:t>
            </w:r>
          </w:p>
        </w:tc>
      </w:tr>
    </w:tbl>
    <w:p w14:paraId="7455093F" w14:textId="089D9A66" w:rsidR="00E3692E" w:rsidRDefault="004363FD" w:rsidP="00EB60CC">
      <w:pPr>
        <w:spacing w:before="120" w:after="0" w:line="240" w:lineRule="auto"/>
        <w:ind w:left="0" w:firstLine="0"/>
        <w:rPr>
          <w:rFonts w:eastAsia="맑은 고딕"/>
          <w:kern w:val="2"/>
          <w:sz w:val="22"/>
          <w:szCs w:val="22"/>
          <w:lang w:eastAsia="ko-KR"/>
        </w:rPr>
      </w:pPr>
      <w:r>
        <w:rPr>
          <w:rFonts w:eastAsia="맑은 고딕"/>
          <w:kern w:val="2"/>
          <w:sz w:val="22"/>
          <w:szCs w:val="22"/>
          <w:lang w:eastAsia="ko-KR"/>
        </w:rPr>
        <w:lastRenderedPageBreak/>
        <w:t xml:space="preserve">Our suggested way forward </w:t>
      </w:r>
      <w:r w:rsidR="00E3692E">
        <w:rPr>
          <w:rFonts w:eastAsia="맑은 고딕"/>
          <w:kern w:val="2"/>
          <w:sz w:val="22"/>
          <w:szCs w:val="22"/>
          <w:lang w:eastAsia="ko-KR"/>
        </w:rPr>
        <w:t xml:space="preserve">for the two issues above (i.e., FFS and WA) </w:t>
      </w:r>
      <w:r>
        <w:rPr>
          <w:rFonts w:eastAsia="맑은 고딕"/>
          <w:kern w:val="2"/>
          <w:sz w:val="22"/>
          <w:szCs w:val="22"/>
          <w:lang w:eastAsia="ko-KR"/>
        </w:rPr>
        <w:t xml:space="preserve">is not to support this feature in TDD special subframes 9 and 10. </w:t>
      </w:r>
      <w:r w:rsidR="00C82D19">
        <w:rPr>
          <w:rFonts w:eastAsia="맑은 고딕"/>
          <w:kern w:val="2"/>
          <w:sz w:val="22"/>
          <w:szCs w:val="22"/>
          <w:lang w:eastAsia="ko-KR"/>
        </w:rPr>
        <w:t xml:space="preserve">For explanation, the usage of TDD special subframes 9 and 10 for MPDCCH transmission in Rel-13 eMTC is summarized below. </w:t>
      </w:r>
    </w:p>
    <w:p w14:paraId="6208ED2A" w14:textId="77777777" w:rsidR="00E3692E" w:rsidRPr="00EB60CC" w:rsidRDefault="004363FD" w:rsidP="00EB60CC">
      <w:pPr>
        <w:pStyle w:val="ac"/>
        <w:numPr>
          <w:ilvl w:val="0"/>
          <w:numId w:val="22"/>
        </w:numPr>
        <w:spacing w:before="120" w:line="240" w:lineRule="auto"/>
        <w:ind w:leftChars="0"/>
        <w:rPr>
          <w:rFonts w:eastAsia="맑은 고딕"/>
          <w:kern w:val="2"/>
          <w:sz w:val="22"/>
          <w:szCs w:val="22"/>
          <w:lang w:eastAsia="ko-KR"/>
        </w:rPr>
      </w:pPr>
      <w:r w:rsidRPr="00EB60CC">
        <w:rPr>
          <w:rFonts w:ascii="Times New Roman" w:eastAsia="맑은 고딕" w:hAnsi="Times New Roman"/>
          <w:kern w:val="2"/>
          <w:sz w:val="22"/>
          <w:szCs w:val="22"/>
          <w:lang w:eastAsia="ko-KR"/>
        </w:rPr>
        <w:t>TDD special subframe configuration 9 with normal CP and no repetition</w:t>
      </w:r>
    </w:p>
    <w:p w14:paraId="2E5067F4" w14:textId="0B7F491D" w:rsidR="004363FD" w:rsidRPr="00EB60CC" w:rsidRDefault="004363FD" w:rsidP="00EB60CC">
      <w:pPr>
        <w:pStyle w:val="ac"/>
        <w:numPr>
          <w:ilvl w:val="0"/>
          <w:numId w:val="22"/>
        </w:numPr>
        <w:spacing w:before="120" w:after="240" w:line="240" w:lineRule="auto"/>
        <w:ind w:leftChars="0"/>
        <w:rPr>
          <w:rFonts w:eastAsia="맑은 고딕"/>
          <w:kern w:val="2"/>
          <w:sz w:val="22"/>
          <w:szCs w:val="22"/>
          <w:lang w:eastAsia="ko-KR"/>
        </w:rPr>
      </w:pPr>
      <w:r w:rsidRPr="00EB60CC">
        <w:rPr>
          <w:rFonts w:ascii="Times New Roman" w:eastAsia="맑은 고딕" w:hAnsi="Times New Roman"/>
          <w:kern w:val="2"/>
          <w:sz w:val="22"/>
          <w:szCs w:val="22"/>
          <w:lang w:eastAsia="ko-KR"/>
        </w:rPr>
        <w:t>TDD special subframe configuration 10 with normal CP, crs-LessDwPTS-r14 set to false, and no repetition</w:t>
      </w:r>
    </w:p>
    <w:p w14:paraId="4BD31E7D" w14:textId="56054962" w:rsidR="004363FD" w:rsidRDefault="00C82D19" w:rsidP="004363F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Both TDD special subframe 9 and 10 are not supported for MPDCCH transmission when repetition is configured and for special subframe 10, </w:t>
      </w:r>
      <w:r w:rsidR="00FB6ACD">
        <w:rPr>
          <w:rFonts w:eastAsia="맑은 고딕"/>
          <w:kern w:val="2"/>
          <w:sz w:val="22"/>
          <w:szCs w:val="22"/>
          <w:lang w:eastAsia="ko-KR"/>
        </w:rPr>
        <w:t xml:space="preserve">in addition to that, </w:t>
      </w:r>
      <w:r w:rsidRPr="00CA3A48">
        <w:rPr>
          <w:rFonts w:eastAsia="맑은 고딕"/>
          <w:kern w:val="2"/>
          <w:sz w:val="22"/>
          <w:szCs w:val="22"/>
          <w:lang w:eastAsia="ko-KR"/>
        </w:rPr>
        <w:t xml:space="preserve">crs-LessDwPTS-r14 </w:t>
      </w:r>
      <w:r>
        <w:rPr>
          <w:rFonts w:eastAsia="맑은 고딕"/>
          <w:kern w:val="2"/>
          <w:sz w:val="22"/>
          <w:szCs w:val="22"/>
          <w:lang w:eastAsia="ko-KR"/>
        </w:rPr>
        <w:t xml:space="preserve">shall </w:t>
      </w:r>
      <w:r w:rsidR="00FB6ACD">
        <w:rPr>
          <w:rFonts w:eastAsia="맑은 고딕" w:hint="eastAsia"/>
          <w:kern w:val="2"/>
          <w:sz w:val="22"/>
          <w:szCs w:val="22"/>
          <w:lang w:eastAsia="ko-KR"/>
        </w:rPr>
        <w:t>a</w:t>
      </w:r>
      <w:r w:rsidR="00FB6ACD">
        <w:rPr>
          <w:rFonts w:eastAsia="맑은 고딕"/>
          <w:kern w:val="2"/>
          <w:sz w:val="22"/>
          <w:szCs w:val="22"/>
          <w:lang w:eastAsia="ko-KR"/>
        </w:rPr>
        <w:t xml:space="preserve">lso </w:t>
      </w:r>
      <w:r>
        <w:rPr>
          <w:rFonts w:eastAsia="맑은 고딕"/>
          <w:kern w:val="2"/>
          <w:sz w:val="22"/>
          <w:szCs w:val="22"/>
          <w:lang w:eastAsia="ko-KR"/>
        </w:rPr>
        <w:t xml:space="preserve">be </w:t>
      </w:r>
      <w:r w:rsidRPr="00CA3A48">
        <w:rPr>
          <w:rFonts w:eastAsia="맑은 고딕"/>
          <w:kern w:val="2"/>
          <w:sz w:val="22"/>
          <w:szCs w:val="22"/>
          <w:lang w:eastAsia="ko-KR"/>
        </w:rPr>
        <w:t>set to false</w:t>
      </w:r>
      <w:r>
        <w:rPr>
          <w:rFonts w:eastAsia="맑은 고딕"/>
          <w:kern w:val="2"/>
          <w:sz w:val="22"/>
          <w:szCs w:val="22"/>
          <w:lang w:eastAsia="ko-KR"/>
        </w:rPr>
        <w:t xml:space="preserve"> </w:t>
      </w:r>
      <w:r w:rsidR="00B33FE7">
        <w:rPr>
          <w:rFonts w:eastAsia="맑은 고딕"/>
          <w:kern w:val="2"/>
          <w:sz w:val="22"/>
          <w:szCs w:val="22"/>
          <w:lang w:eastAsia="ko-KR"/>
        </w:rPr>
        <w:t xml:space="preserve">for MPDCCH transmission. </w:t>
      </w:r>
      <w:r w:rsidR="00D117B3">
        <w:rPr>
          <w:rFonts w:eastAsia="맑은 고딕"/>
          <w:kern w:val="2"/>
          <w:sz w:val="22"/>
          <w:szCs w:val="22"/>
          <w:lang w:eastAsia="ko-KR"/>
        </w:rPr>
        <w:t xml:space="preserve">Taking into account the fact that </w:t>
      </w:r>
      <w:r w:rsidR="00B33FE7">
        <w:rPr>
          <w:rFonts w:eastAsia="맑은 고딕"/>
          <w:kern w:val="2"/>
          <w:sz w:val="22"/>
          <w:szCs w:val="22"/>
          <w:lang w:eastAsia="ko-KR"/>
        </w:rPr>
        <w:t xml:space="preserve">their usage </w:t>
      </w:r>
      <w:r w:rsidR="00D117B3">
        <w:rPr>
          <w:rFonts w:eastAsia="맑은 고딕"/>
          <w:kern w:val="2"/>
          <w:sz w:val="22"/>
          <w:szCs w:val="22"/>
          <w:lang w:eastAsia="ko-KR"/>
        </w:rPr>
        <w:t>is</w:t>
      </w:r>
      <w:r w:rsidR="00B33FE7">
        <w:rPr>
          <w:rFonts w:eastAsia="맑은 고딕"/>
          <w:kern w:val="2"/>
          <w:sz w:val="22"/>
          <w:szCs w:val="22"/>
          <w:lang w:eastAsia="ko-KR"/>
        </w:rPr>
        <w:t xml:space="preserve"> very limited and also we already</w:t>
      </w:r>
      <w:r w:rsidR="00D117B3">
        <w:rPr>
          <w:rFonts w:eastAsia="맑은 고딕"/>
          <w:kern w:val="2"/>
          <w:sz w:val="22"/>
          <w:szCs w:val="22"/>
          <w:lang w:eastAsia="ko-KR"/>
        </w:rPr>
        <w:t xml:space="preserve"> have</w:t>
      </w:r>
      <w:r w:rsidR="00B33FE7">
        <w:rPr>
          <w:rFonts w:eastAsia="맑은 고딕"/>
          <w:kern w:val="2"/>
          <w:sz w:val="22"/>
          <w:szCs w:val="22"/>
          <w:lang w:eastAsia="ko-KR"/>
        </w:rPr>
        <w:t xml:space="preserve"> two different RE mapping rules for MPDCCH and PDSCH, we propose to not support this feature for TDD special subframes 9 and 10</w:t>
      </w:r>
      <w:r w:rsidR="00190230">
        <w:rPr>
          <w:rFonts w:eastAsia="맑은 고딕"/>
          <w:kern w:val="2"/>
          <w:sz w:val="22"/>
          <w:szCs w:val="22"/>
          <w:lang w:eastAsia="ko-KR"/>
        </w:rPr>
        <w:t xml:space="preserve"> and revise the </w:t>
      </w:r>
      <w:r w:rsidR="00B33FE7">
        <w:rPr>
          <w:rFonts w:eastAsia="맑은 고딕"/>
          <w:kern w:val="2"/>
          <w:sz w:val="22"/>
          <w:szCs w:val="22"/>
          <w:lang w:eastAsia="ko-KR"/>
        </w:rPr>
        <w:t xml:space="preserve">working assumption </w:t>
      </w:r>
      <w:r w:rsidR="00190230">
        <w:rPr>
          <w:rFonts w:eastAsia="맑은 고딕"/>
          <w:kern w:val="2"/>
          <w:sz w:val="22"/>
          <w:szCs w:val="22"/>
          <w:lang w:eastAsia="ko-KR"/>
        </w:rPr>
        <w:t>accordingly</w:t>
      </w:r>
      <w:r w:rsidR="00B33FE7">
        <w:rPr>
          <w:rFonts w:eastAsia="맑은 고딕"/>
          <w:kern w:val="2"/>
          <w:sz w:val="22"/>
          <w:szCs w:val="22"/>
          <w:lang w:eastAsia="ko-KR"/>
        </w:rPr>
        <w:t>.</w:t>
      </w:r>
    </w:p>
    <w:p w14:paraId="762C6136" w14:textId="2EDB2947" w:rsidR="00190230" w:rsidRDefault="000A1543" w:rsidP="00E20DF8">
      <w:pPr>
        <w:spacing w:before="120"/>
        <w:ind w:left="220" w:firstLine="0"/>
        <w:rPr>
          <w:b/>
          <w:i/>
          <w:sz w:val="22"/>
        </w:rPr>
      </w:pPr>
      <w:r w:rsidRPr="00B84270">
        <w:rPr>
          <w:b/>
          <w:i/>
          <w:sz w:val="22"/>
        </w:rPr>
        <w:t xml:space="preserve">Proposal 1: </w:t>
      </w:r>
      <w:r>
        <w:rPr>
          <w:b/>
          <w:i/>
          <w:sz w:val="22"/>
        </w:rPr>
        <w:t>Use of LTE control region for MPDCCH transmission is not supported in TDD special subframes 9 and 10.</w:t>
      </w:r>
    </w:p>
    <w:p w14:paraId="28CB5572" w14:textId="1B05D65E" w:rsidR="00190230" w:rsidRPr="00190230" w:rsidRDefault="00190230" w:rsidP="00EB60CC">
      <w:pPr>
        <w:numPr>
          <w:ilvl w:val="0"/>
          <w:numId w:val="22"/>
        </w:numPr>
        <w:spacing w:after="0" w:line="259" w:lineRule="auto"/>
        <w:rPr>
          <w:b/>
          <w:i/>
          <w:sz w:val="22"/>
        </w:rPr>
      </w:pPr>
      <w:r>
        <w:rPr>
          <w:rFonts w:eastAsiaTheme="minorEastAsia" w:hint="eastAsia"/>
          <w:b/>
          <w:i/>
          <w:sz w:val="22"/>
          <w:lang w:eastAsia="ko-KR"/>
        </w:rPr>
        <w:t xml:space="preserve">Other than </w:t>
      </w:r>
      <w:r>
        <w:rPr>
          <w:rFonts w:eastAsiaTheme="minorEastAsia"/>
          <w:b/>
          <w:i/>
          <w:sz w:val="22"/>
          <w:lang w:eastAsia="ko-KR"/>
        </w:rPr>
        <w:t xml:space="preserve">TDD special subframes 9 and 10, </w:t>
      </w:r>
      <w:r w:rsidRPr="00190230">
        <w:rPr>
          <w:rFonts w:eastAsiaTheme="minorEastAsia"/>
          <w:b/>
          <w:i/>
          <w:sz w:val="22"/>
          <w:lang w:eastAsia="ko-KR"/>
        </w:rPr>
        <w:t>the special subframe usage</w:t>
      </w:r>
      <w:r>
        <w:rPr>
          <w:rFonts w:eastAsiaTheme="minorEastAsia"/>
          <w:b/>
          <w:i/>
          <w:sz w:val="22"/>
          <w:lang w:eastAsia="ko-KR"/>
        </w:rPr>
        <w:t xml:space="preserve"> for MPDCCH/PDSCH</w:t>
      </w:r>
      <w:r w:rsidRPr="00190230">
        <w:rPr>
          <w:rFonts w:eastAsiaTheme="minorEastAsia"/>
          <w:b/>
          <w:i/>
          <w:sz w:val="22"/>
          <w:lang w:eastAsia="ko-KR"/>
        </w:rPr>
        <w:t xml:space="preserve"> is the same as Rel-13</w:t>
      </w:r>
    </w:p>
    <w:p w14:paraId="4B13C52D" w14:textId="63650F07" w:rsidR="00134177" w:rsidRDefault="000A1543" w:rsidP="008F2A87">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en-US" w:eastAsia="ko-KR"/>
        </w:rPr>
        <w:t xml:space="preserve">Another issue that we have not covered yet on the </w:t>
      </w:r>
      <w:r w:rsidR="008F2A87">
        <w:rPr>
          <w:rFonts w:eastAsia="맑은 고딕"/>
          <w:kern w:val="2"/>
          <w:sz w:val="22"/>
          <w:szCs w:val="22"/>
          <w:lang w:val="en-US" w:eastAsia="ko-KR"/>
        </w:rPr>
        <w:t xml:space="preserve">MPDCCH RE mapping </w:t>
      </w:r>
      <w:r>
        <w:rPr>
          <w:rFonts w:eastAsia="맑은 고딕"/>
          <w:kern w:val="2"/>
          <w:sz w:val="22"/>
          <w:szCs w:val="22"/>
          <w:lang w:val="en-US" w:eastAsia="ko-KR"/>
        </w:rPr>
        <w:t>is how to deal with those REs that belong to MPDCCH PRB</w:t>
      </w:r>
      <w:r w:rsidR="000929B4">
        <w:rPr>
          <w:rFonts w:eastAsia="맑은 고딕"/>
          <w:kern w:val="2"/>
          <w:sz w:val="22"/>
          <w:szCs w:val="22"/>
          <w:lang w:val="en-US" w:eastAsia="ko-KR"/>
        </w:rPr>
        <w:t>s</w:t>
      </w:r>
      <w:r>
        <w:rPr>
          <w:rFonts w:eastAsia="맑은 고딕"/>
          <w:kern w:val="2"/>
          <w:sz w:val="22"/>
          <w:szCs w:val="22"/>
          <w:lang w:val="en-US" w:eastAsia="ko-KR"/>
        </w:rPr>
        <w:t xml:space="preserve"> </w:t>
      </w:r>
      <w:r w:rsidR="000929B4">
        <w:rPr>
          <w:rFonts w:eastAsia="맑은 고딕"/>
          <w:kern w:val="2"/>
          <w:sz w:val="22"/>
          <w:szCs w:val="22"/>
          <w:lang w:val="en-US" w:eastAsia="ko-KR"/>
        </w:rPr>
        <w:t xml:space="preserve">but are </w:t>
      </w:r>
      <w:r w:rsidR="00E178F3">
        <w:rPr>
          <w:rFonts w:eastAsia="맑은 고딕"/>
          <w:kern w:val="2"/>
          <w:sz w:val="22"/>
          <w:szCs w:val="22"/>
          <w:lang w:val="x-none" w:eastAsia="ko-KR"/>
        </w:rPr>
        <w:t xml:space="preserve">punctured by </w:t>
      </w:r>
      <w:r w:rsidR="00113C05">
        <w:rPr>
          <w:rFonts w:eastAsia="맑은 고딕"/>
          <w:kern w:val="2"/>
          <w:sz w:val="22"/>
          <w:szCs w:val="22"/>
          <w:lang w:val="x-none" w:eastAsia="ko-KR"/>
        </w:rPr>
        <w:t xml:space="preserve">some </w:t>
      </w:r>
      <w:r w:rsidR="003175FB">
        <w:rPr>
          <w:rFonts w:eastAsia="맑은 고딕"/>
          <w:kern w:val="2"/>
          <w:sz w:val="22"/>
          <w:szCs w:val="22"/>
          <w:lang w:val="x-none" w:eastAsia="ko-KR"/>
        </w:rPr>
        <w:t>reference or sync signals</w:t>
      </w:r>
      <w:r w:rsidR="008F2A87">
        <w:rPr>
          <w:rFonts w:eastAsia="맑은 고딕"/>
          <w:kern w:val="2"/>
          <w:sz w:val="22"/>
          <w:szCs w:val="22"/>
          <w:lang w:val="x-none" w:eastAsia="ko-KR"/>
        </w:rPr>
        <w:t xml:space="preserve">. </w:t>
      </w:r>
      <w:r w:rsidR="00E55430">
        <w:rPr>
          <w:rFonts w:eastAsia="맑은 고딕"/>
          <w:kern w:val="2"/>
          <w:sz w:val="22"/>
          <w:szCs w:val="22"/>
          <w:lang w:val="x-none" w:eastAsia="ko-KR"/>
        </w:rPr>
        <w:t>Clearly</w:t>
      </w:r>
      <w:r w:rsidR="00F06FE4">
        <w:rPr>
          <w:rFonts w:eastAsia="맑은 고딕"/>
          <w:kern w:val="2"/>
          <w:sz w:val="22"/>
          <w:szCs w:val="22"/>
          <w:lang w:val="x-none" w:eastAsia="ko-KR"/>
        </w:rPr>
        <w:t>,</w:t>
      </w:r>
      <w:r w:rsidR="00E55430">
        <w:rPr>
          <w:rFonts w:eastAsia="맑은 고딕"/>
          <w:kern w:val="2"/>
          <w:sz w:val="22"/>
          <w:szCs w:val="22"/>
          <w:lang w:val="x-none" w:eastAsia="ko-KR"/>
        </w:rPr>
        <w:t xml:space="preserve"> MPDCCH DMRS REs are part of the MPDCCH REs </w:t>
      </w:r>
      <w:r w:rsidR="000929B4">
        <w:rPr>
          <w:rFonts w:eastAsia="맑은 고딕"/>
          <w:kern w:val="2"/>
          <w:sz w:val="22"/>
          <w:szCs w:val="22"/>
          <w:lang w:val="x-none" w:eastAsia="ko-KR"/>
        </w:rPr>
        <w:t xml:space="preserve">that should be </w:t>
      </w:r>
      <w:r w:rsidR="00E55430">
        <w:rPr>
          <w:rFonts w:eastAsia="맑은 고딕"/>
          <w:kern w:val="2"/>
          <w:sz w:val="22"/>
          <w:szCs w:val="22"/>
          <w:lang w:val="x-none" w:eastAsia="ko-KR"/>
        </w:rPr>
        <w:t>copied to LTE control region. MPDCCH DMRS REs</w:t>
      </w:r>
      <w:r w:rsidR="000929B4">
        <w:rPr>
          <w:rFonts w:eastAsia="맑은 고딕"/>
          <w:kern w:val="2"/>
          <w:sz w:val="22"/>
          <w:szCs w:val="22"/>
          <w:lang w:val="x-none" w:eastAsia="ko-KR"/>
        </w:rPr>
        <w:t xml:space="preserve"> that are copied into LTE control region</w:t>
      </w:r>
      <w:r w:rsidR="00E55430">
        <w:rPr>
          <w:rFonts w:eastAsia="맑은 고딕"/>
          <w:kern w:val="2"/>
          <w:sz w:val="22"/>
          <w:szCs w:val="22"/>
          <w:lang w:val="x-none" w:eastAsia="ko-KR"/>
        </w:rPr>
        <w:t xml:space="preserve"> can also be used for synchronization. </w:t>
      </w:r>
      <w:r w:rsidR="000929B4">
        <w:rPr>
          <w:rFonts w:eastAsia="맑은 고딕"/>
          <w:kern w:val="2"/>
          <w:sz w:val="22"/>
          <w:szCs w:val="22"/>
          <w:lang w:val="x-none" w:eastAsia="ko-KR"/>
        </w:rPr>
        <w:t>F</w:t>
      </w:r>
      <w:r w:rsidR="00F06FE4">
        <w:rPr>
          <w:rFonts w:eastAsia="맑은 고딕"/>
          <w:kern w:val="2"/>
          <w:sz w:val="22"/>
          <w:szCs w:val="22"/>
          <w:lang w:val="x-none" w:eastAsia="ko-KR"/>
        </w:rPr>
        <w:t xml:space="preserve">or </w:t>
      </w:r>
      <w:r w:rsidR="00113C05">
        <w:rPr>
          <w:rFonts w:eastAsia="맑은 고딕"/>
          <w:kern w:val="2"/>
          <w:sz w:val="22"/>
          <w:szCs w:val="22"/>
          <w:lang w:val="x-none" w:eastAsia="ko-KR"/>
        </w:rPr>
        <w:t>CSI-RS</w:t>
      </w:r>
      <w:r w:rsidR="00F06FE4">
        <w:rPr>
          <w:rFonts w:eastAsia="맑은 고딕"/>
          <w:kern w:val="2"/>
          <w:sz w:val="22"/>
          <w:szCs w:val="22"/>
          <w:lang w:val="x-none" w:eastAsia="ko-KR"/>
        </w:rPr>
        <w:t xml:space="preserve"> REs</w:t>
      </w:r>
      <w:r w:rsidR="00113C05">
        <w:rPr>
          <w:rFonts w:eastAsia="맑은 고딕"/>
          <w:kern w:val="2"/>
          <w:sz w:val="22"/>
          <w:szCs w:val="22"/>
          <w:lang w:val="x-none" w:eastAsia="ko-KR"/>
        </w:rPr>
        <w:t xml:space="preserve"> </w:t>
      </w:r>
      <w:r w:rsidR="00F06FE4">
        <w:rPr>
          <w:rFonts w:eastAsia="맑은 고딕"/>
          <w:kern w:val="2"/>
          <w:sz w:val="22"/>
          <w:szCs w:val="22"/>
          <w:lang w:val="x-none" w:eastAsia="ko-KR"/>
        </w:rPr>
        <w:t>puncturing</w:t>
      </w:r>
      <w:r w:rsidR="00113C05">
        <w:rPr>
          <w:rFonts w:eastAsia="맑은 고딕"/>
          <w:kern w:val="2"/>
          <w:sz w:val="22"/>
          <w:szCs w:val="22"/>
          <w:lang w:val="x-none" w:eastAsia="ko-KR"/>
        </w:rPr>
        <w:t xml:space="preserve"> MPDCCH REs</w:t>
      </w:r>
      <w:r w:rsidR="00F06FE4">
        <w:rPr>
          <w:rFonts w:eastAsia="맑은 고딕"/>
          <w:kern w:val="2"/>
          <w:sz w:val="22"/>
          <w:szCs w:val="22"/>
          <w:lang w:val="x-none" w:eastAsia="ko-KR"/>
        </w:rPr>
        <w:t xml:space="preserve">, </w:t>
      </w:r>
      <w:r w:rsidR="00134177">
        <w:rPr>
          <w:rFonts w:eastAsia="맑은 고딕"/>
          <w:kern w:val="2"/>
          <w:sz w:val="22"/>
          <w:szCs w:val="22"/>
          <w:lang w:val="x-none" w:eastAsia="ko-KR"/>
        </w:rPr>
        <w:t xml:space="preserve">there are two </w:t>
      </w:r>
      <w:r w:rsidR="00D60243">
        <w:rPr>
          <w:rFonts w:eastAsia="맑은 고딕"/>
          <w:kern w:val="2"/>
          <w:sz w:val="22"/>
          <w:szCs w:val="22"/>
          <w:lang w:val="x-none" w:eastAsia="ko-KR"/>
        </w:rPr>
        <w:t>alternatives to consider</w:t>
      </w:r>
      <w:r w:rsidR="00134177">
        <w:rPr>
          <w:rFonts w:eastAsia="맑은 고딕"/>
          <w:kern w:val="2"/>
          <w:sz w:val="22"/>
          <w:szCs w:val="22"/>
          <w:lang w:val="x-none" w:eastAsia="ko-KR"/>
        </w:rPr>
        <w:t>.</w:t>
      </w:r>
    </w:p>
    <w:p w14:paraId="589DDB9B" w14:textId="01E2D00C" w:rsidR="00D60243" w:rsidRPr="00EB60CC" w:rsidRDefault="00D60243" w:rsidP="00EB60CC">
      <w:pPr>
        <w:pStyle w:val="ac"/>
        <w:numPr>
          <w:ilvl w:val="0"/>
          <w:numId w:val="43"/>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 xml:space="preserve">Alt.1 </w:t>
      </w:r>
      <w:r w:rsidRPr="00EB60CC">
        <w:rPr>
          <w:rFonts w:ascii="Times New Roman" w:eastAsia="맑은 고딕" w:hAnsi="Times New Roman"/>
          <w:kern w:val="2"/>
          <w:sz w:val="22"/>
          <w:szCs w:val="22"/>
          <w:lang w:eastAsia="ko-KR"/>
        </w:rPr>
        <w:t>Copy MPDCCH REs into LTE control region</w:t>
      </w:r>
    </w:p>
    <w:p w14:paraId="611A7833" w14:textId="350A3541" w:rsidR="00134177" w:rsidRPr="00D117B3" w:rsidRDefault="00134177" w:rsidP="00EB60CC">
      <w:pPr>
        <w:pStyle w:val="ac"/>
        <w:numPr>
          <w:ilvl w:val="0"/>
          <w:numId w:val="43"/>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Alt.</w:t>
      </w:r>
      <w:r w:rsidR="00D60243">
        <w:rPr>
          <w:rFonts w:ascii="Times New Roman" w:eastAsia="맑은 고딕" w:hAnsi="Times New Roman"/>
          <w:kern w:val="2"/>
          <w:sz w:val="22"/>
          <w:szCs w:val="22"/>
          <w:lang w:eastAsia="ko-KR"/>
        </w:rPr>
        <w:t>2</w:t>
      </w:r>
      <w:r>
        <w:rPr>
          <w:rFonts w:ascii="Times New Roman" w:eastAsia="맑은 고딕" w:hAnsi="Times New Roman"/>
          <w:kern w:val="2"/>
          <w:sz w:val="22"/>
          <w:szCs w:val="22"/>
          <w:lang w:eastAsia="ko-KR"/>
        </w:rPr>
        <w:t xml:space="preserve"> </w:t>
      </w:r>
      <w:r w:rsidRPr="00EB60CC">
        <w:rPr>
          <w:rFonts w:ascii="Times New Roman" w:eastAsia="맑은 고딕" w:hAnsi="Times New Roman"/>
          <w:kern w:val="2"/>
          <w:sz w:val="22"/>
          <w:szCs w:val="22"/>
          <w:lang w:eastAsia="ko-KR"/>
        </w:rPr>
        <w:t>Copy CSI-RS puncturing MPDCCH REs into LTE control region</w:t>
      </w:r>
    </w:p>
    <w:p w14:paraId="52ED1596" w14:textId="2213E85A" w:rsidR="003175FB" w:rsidRDefault="008A4F2F" w:rsidP="008F2A87">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x-none" w:eastAsia="ko-KR"/>
        </w:rPr>
        <w:t>A</w:t>
      </w:r>
      <w:r w:rsidR="00D60243">
        <w:rPr>
          <w:rFonts w:eastAsia="맑은 고딕"/>
          <w:kern w:val="2"/>
          <w:sz w:val="22"/>
          <w:szCs w:val="22"/>
          <w:lang w:val="x-none" w:eastAsia="ko-KR"/>
        </w:rPr>
        <w:t xml:space="preserve">s LTE MTC UEs cannot be aware of the presence of CSI-RS REs puncturing MPDCCH REs, they </w:t>
      </w:r>
      <w:r>
        <w:rPr>
          <w:rFonts w:eastAsia="맑은 고딕"/>
          <w:kern w:val="2"/>
          <w:sz w:val="22"/>
          <w:szCs w:val="22"/>
          <w:lang w:val="x-none" w:eastAsia="ko-KR"/>
        </w:rPr>
        <w:t>will</w:t>
      </w:r>
      <w:r w:rsidR="00D60243">
        <w:rPr>
          <w:rFonts w:eastAsia="맑은 고딕"/>
          <w:kern w:val="2"/>
          <w:sz w:val="22"/>
          <w:szCs w:val="22"/>
          <w:lang w:val="x-none" w:eastAsia="ko-KR"/>
        </w:rPr>
        <w:t xml:space="preserve"> </w:t>
      </w:r>
      <w:r>
        <w:rPr>
          <w:rFonts w:eastAsia="맑은 고딕"/>
          <w:kern w:val="2"/>
          <w:sz w:val="22"/>
          <w:szCs w:val="22"/>
          <w:lang w:val="x-none" w:eastAsia="ko-KR"/>
        </w:rPr>
        <w:t xml:space="preserve">probably </w:t>
      </w:r>
      <w:r w:rsidR="00D60243">
        <w:rPr>
          <w:rFonts w:eastAsia="맑은 고딕"/>
          <w:kern w:val="2"/>
          <w:sz w:val="22"/>
          <w:szCs w:val="22"/>
          <w:lang w:val="x-none" w:eastAsia="ko-KR"/>
        </w:rPr>
        <w:t xml:space="preserve">have to exclude those REs for potential CSI-RS transmission from MPDCCH decoding. </w:t>
      </w:r>
      <w:r>
        <w:rPr>
          <w:rFonts w:eastAsia="맑은 고딕"/>
          <w:kern w:val="2"/>
          <w:sz w:val="22"/>
          <w:szCs w:val="22"/>
          <w:lang w:val="x-none" w:eastAsia="ko-KR"/>
        </w:rPr>
        <w:t xml:space="preserve">For Alt.1, </w:t>
      </w:r>
      <w:r w:rsidR="00D60243">
        <w:rPr>
          <w:rFonts w:eastAsia="맑은 고딕"/>
          <w:kern w:val="2"/>
          <w:sz w:val="22"/>
          <w:szCs w:val="22"/>
          <w:lang w:val="x-none" w:eastAsia="ko-KR"/>
        </w:rPr>
        <w:t xml:space="preserve"> those MPDCCH REs that </w:t>
      </w:r>
      <w:r w:rsidR="00902011">
        <w:rPr>
          <w:rFonts w:eastAsia="맑은 고딕"/>
          <w:kern w:val="2"/>
          <w:sz w:val="22"/>
          <w:szCs w:val="22"/>
          <w:lang w:val="x-none" w:eastAsia="ko-KR"/>
        </w:rPr>
        <w:t xml:space="preserve">are potentially </w:t>
      </w:r>
      <w:r w:rsidR="00D60243">
        <w:rPr>
          <w:rFonts w:eastAsia="맑은 고딕"/>
          <w:kern w:val="2"/>
          <w:sz w:val="22"/>
          <w:szCs w:val="22"/>
          <w:lang w:val="x-none" w:eastAsia="ko-KR"/>
        </w:rPr>
        <w:t xml:space="preserve">punctured by CSI-RS in MPDCCH region </w:t>
      </w:r>
      <w:r w:rsidR="00902011">
        <w:rPr>
          <w:rFonts w:eastAsia="맑은 고딕"/>
          <w:kern w:val="2"/>
          <w:sz w:val="22"/>
          <w:szCs w:val="22"/>
          <w:lang w:val="x-none" w:eastAsia="ko-KR"/>
        </w:rPr>
        <w:t>can now be used for MPDCCH decoding as they are now available</w:t>
      </w:r>
      <w:r w:rsidR="00D60243">
        <w:rPr>
          <w:rFonts w:eastAsia="맑은 고딕"/>
          <w:kern w:val="2"/>
          <w:sz w:val="22"/>
          <w:szCs w:val="22"/>
          <w:lang w:val="x-none" w:eastAsia="ko-KR"/>
        </w:rPr>
        <w:t xml:space="preserve"> in LTE control region. </w:t>
      </w:r>
      <w:r w:rsidR="0048125E">
        <w:rPr>
          <w:rFonts w:eastAsia="맑은 고딕"/>
          <w:kern w:val="2"/>
          <w:sz w:val="22"/>
          <w:szCs w:val="22"/>
          <w:lang w:val="x-none" w:eastAsia="ko-KR"/>
        </w:rPr>
        <w:t xml:space="preserve">On the other hand, for Alt.2 compared to Alt.1, </w:t>
      </w:r>
      <w:r w:rsidR="00B11921">
        <w:rPr>
          <w:rFonts w:eastAsia="맑은 고딕"/>
          <w:kern w:val="2"/>
          <w:sz w:val="22"/>
          <w:szCs w:val="22"/>
          <w:lang w:val="x-none" w:eastAsia="ko-KR"/>
        </w:rPr>
        <w:t xml:space="preserve">as the same REs are copied regardless of puncturing, it has the benefit in terms of </w:t>
      </w:r>
      <w:r w:rsidR="00902011">
        <w:rPr>
          <w:rFonts w:eastAsia="맑은 고딕"/>
          <w:kern w:val="2"/>
          <w:sz w:val="22"/>
          <w:szCs w:val="22"/>
          <w:lang w:val="x-none" w:eastAsia="ko-KR"/>
        </w:rPr>
        <w:t>synchronization</w:t>
      </w:r>
      <w:r w:rsidR="00B11921">
        <w:rPr>
          <w:rFonts w:eastAsia="맑은 고딕"/>
          <w:kern w:val="2"/>
          <w:sz w:val="22"/>
          <w:szCs w:val="22"/>
          <w:lang w:val="x-none" w:eastAsia="ko-KR"/>
        </w:rPr>
        <w:t xml:space="preserve"> performance.</w:t>
      </w:r>
    </w:p>
    <w:p w14:paraId="5EBAAFB6" w14:textId="7EFFFE20" w:rsidR="00775425" w:rsidRDefault="00775425" w:rsidP="00E20DF8">
      <w:pPr>
        <w:spacing w:before="120"/>
        <w:ind w:left="220" w:firstLine="0"/>
        <w:rPr>
          <w:b/>
          <w:i/>
          <w:sz w:val="22"/>
        </w:rPr>
      </w:pPr>
      <w:r>
        <w:rPr>
          <w:b/>
          <w:i/>
          <w:sz w:val="22"/>
        </w:rPr>
        <w:t xml:space="preserve">Proposal </w:t>
      </w:r>
      <w:r w:rsidR="009E28DA">
        <w:rPr>
          <w:b/>
          <w:i/>
          <w:sz w:val="22"/>
        </w:rPr>
        <w:t>2</w:t>
      </w:r>
      <w:r>
        <w:rPr>
          <w:b/>
          <w:i/>
          <w:sz w:val="22"/>
        </w:rPr>
        <w:t>: T</w:t>
      </w:r>
      <w:r w:rsidRPr="00DB2327">
        <w:rPr>
          <w:b/>
          <w:i/>
          <w:sz w:val="22"/>
        </w:rPr>
        <w:t>he re</w:t>
      </w:r>
      <w:r>
        <w:rPr>
          <w:b/>
          <w:i/>
          <w:sz w:val="22"/>
        </w:rPr>
        <w:t xml:space="preserve">source elements used for MPDCCH and mapped in LTE control region include </w:t>
      </w:r>
    </w:p>
    <w:p w14:paraId="3AF3CE88" w14:textId="77777777" w:rsidR="00775425" w:rsidRDefault="00775425" w:rsidP="00775425">
      <w:pPr>
        <w:numPr>
          <w:ilvl w:val="0"/>
          <w:numId w:val="22"/>
        </w:numPr>
        <w:spacing w:after="0" w:line="259" w:lineRule="auto"/>
        <w:rPr>
          <w:rFonts w:eastAsia="맑은 고딕"/>
          <w:b/>
          <w:i/>
          <w:sz w:val="22"/>
          <w:szCs w:val="22"/>
        </w:rPr>
      </w:pPr>
      <w:r w:rsidRPr="00A95661">
        <w:rPr>
          <w:rFonts w:eastAsia="맑은 고딕"/>
          <w:b/>
          <w:i/>
          <w:sz w:val="22"/>
          <w:szCs w:val="22"/>
          <w:lang w:val="en-US"/>
        </w:rPr>
        <w:t xml:space="preserve">Resource elements </w:t>
      </w:r>
      <w:r>
        <w:rPr>
          <w:rFonts w:eastAsia="맑은 고딕"/>
          <w:b/>
          <w:i/>
          <w:sz w:val="22"/>
          <w:szCs w:val="22"/>
        </w:rPr>
        <w:t>containing</w:t>
      </w:r>
      <w:r w:rsidRPr="00A95661">
        <w:rPr>
          <w:rFonts w:eastAsia="맑은 고딕"/>
          <w:b/>
          <w:i/>
          <w:sz w:val="22"/>
          <w:szCs w:val="22"/>
          <w:lang w:val="en-US"/>
        </w:rPr>
        <w:t xml:space="preserve"> MPDCCH DMRS</w:t>
      </w:r>
      <w:r>
        <w:rPr>
          <w:rFonts w:eastAsia="맑은 고딕"/>
          <w:b/>
          <w:i/>
          <w:sz w:val="22"/>
          <w:szCs w:val="22"/>
        </w:rPr>
        <w:t xml:space="preserve"> </w:t>
      </w:r>
    </w:p>
    <w:p w14:paraId="36470316" w14:textId="71C86626" w:rsidR="00775425" w:rsidRPr="00EB60CC" w:rsidRDefault="00B11921" w:rsidP="00EB60CC">
      <w:pPr>
        <w:numPr>
          <w:ilvl w:val="0"/>
          <w:numId w:val="22"/>
        </w:numPr>
        <w:spacing w:before="0" w:line="259" w:lineRule="auto"/>
        <w:rPr>
          <w:rFonts w:eastAsia="맑은 고딕"/>
          <w:b/>
          <w:i/>
          <w:sz w:val="22"/>
          <w:szCs w:val="22"/>
        </w:rPr>
      </w:pPr>
      <w:r w:rsidRPr="00EB60CC">
        <w:rPr>
          <w:rFonts w:eastAsia="맑은 고딕"/>
          <w:b/>
          <w:i/>
          <w:sz w:val="22"/>
          <w:szCs w:val="22"/>
        </w:rPr>
        <w:t xml:space="preserve">FFS </w:t>
      </w:r>
      <w:r w:rsidR="00775425" w:rsidRPr="00EB60CC">
        <w:rPr>
          <w:rFonts w:eastAsia="맑은 고딕"/>
          <w:b/>
          <w:i/>
          <w:sz w:val="22"/>
          <w:szCs w:val="22"/>
        </w:rPr>
        <w:t>CSI-RS REs puncturing MPDCCH transmission REs</w:t>
      </w:r>
    </w:p>
    <w:p w14:paraId="264FA965" w14:textId="7BFF7A88" w:rsidR="00E10C74" w:rsidRDefault="00086DD2" w:rsidP="00E10C74">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lastRenderedPageBreak/>
        <w:t>RE mapping for PDSCH</w:t>
      </w:r>
    </w:p>
    <w:p w14:paraId="77A124AB" w14:textId="1CD558C0" w:rsidR="00E745D0" w:rsidRDefault="00193149" w:rsidP="00647F1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the PDSCH mapped in LTE control region is for Rel.16 UEs capable of using LTE control region for DL transmission</w:t>
      </w:r>
      <w:r w:rsidR="009E3FF7">
        <w:rPr>
          <w:rFonts w:eastAsia="맑은 고딕"/>
          <w:kern w:val="2"/>
          <w:sz w:val="22"/>
          <w:szCs w:val="22"/>
          <w:lang w:val="en-US" w:eastAsia="ko-KR"/>
        </w:rPr>
        <w:t xml:space="preserve">, additional REs in LTE control region </w:t>
      </w:r>
      <w:r w:rsidR="00516B09">
        <w:rPr>
          <w:rFonts w:eastAsia="맑은 고딕"/>
          <w:kern w:val="2"/>
          <w:sz w:val="22"/>
          <w:szCs w:val="22"/>
          <w:lang w:val="en-US" w:eastAsia="ko-KR"/>
        </w:rPr>
        <w:t>are</w:t>
      </w:r>
      <w:r w:rsidR="009E3FF7">
        <w:rPr>
          <w:rFonts w:eastAsia="맑은 고딕"/>
          <w:kern w:val="2"/>
          <w:sz w:val="22"/>
          <w:szCs w:val="22"/>
          <w:lang w:val="en-US" w:eastAsia="ko-KR"/>
        </w:rPr>
        <w:t xml:space="preserve"> available for MPDCCH transmission. </w:t>
      </w:r>
      <w:r w:rsidR="00516B09">
        <w:rPr>
          <w:rFonts w:eastAsia="맑은 고딕"/>
          <w:kern w:val="2"/>
          <w:sz w:val="22"/>
          <w:szCs w:val="22"/>
          <w:lang w:val="en-US" w:eastAsia="ko-KR"/>
        </w:rPr>
        <w:t>In this case, a</w:t>
      </w:r>
      <w:r w:rsidR="005C09CD">
        <w:rPr>
          <w:rFonts w:eastAsia="맑은 고딕"/>
          <w:kern w:val="2"/>
          <w:sz w:val="22"/>
          <w:szCs w:val="22"/>
          <w:lang w:val="en-US" w:eastAsia="ko-KR"/>
        </w:rPr>
        <w:t>dditional payload bits (</w:t>
      </w:r>
      <w:r w:rsidR="00FE0AD2">
        <w:rPr>
          <w:rFonts w:eastAsia="맑은 고딕"/>
          <w:kern w:val="2"/>
          <w:sz w:val="22"/>
          <w:szCs w:val="22"/>
          <w:lang w:val="en-US" w:eastAsia="ko-KR"/>
        </w:rPr>
        <w:t xml:space="preserve">a </w:t>
      </w:r>
      <w:r w:rsidR="005C09CD">
        <w:rPr>
          <w:rFonts w:eastAsia="맑은 고딕"/>
          <w:kern w:val="2"/>
          <w:sz w:val="22"/>
          <w:szCs w:val="22"/>
          <w:lang w:val="en-US" w:eastAsia="ko-KR"/>
        </w:rPr>
        <w:t xml:space="preserve">larger TBS) </w:t>
      </w:r>
      <w:r w:rsidR="00FE0AD2">
        <w:rPr>
          <w:rFonts w:eastAsia="맑은 고딕"/>
          <w:kern w:val="2"/>
          <w:sz w:val="22"/>
          <w:szCs w:val="22"/>
          <w:lang w:val="en-US" w:eastAsia="ko-KR"/>
        </w:rPr>
        <w:t xml:space="preserve">can be transmitted </w:t>
      </w:r>
      <w:r w:rsidR="005C09CD">
        <w:rPr>
          <w:rFonts w:eastAsia="맑은 고딕"/>
          <w:kern w:val="2"/>
          <w:sz w:val="22"/>
          <w:szCs w:val="22"/>
          <w:lang w:val="en-US" w:eastAsia="ko-KR"/>
        </w:rPr>
        <w:t xml:space="preserve">given the same code rate. </w:t>
      </w:r>
      <w:r w:rsidR="00516B09">
        <w:rPr>
          <w:rFonts w:eastAsia="맑은 고딕"/>
          <w:kern w:val="2"/>
          <w:sz w:val="22"/>
          <w:szCs w:val="22"/>
          <w:lang w:val="en-US" w:eastAsia="ko-KR"/>
        </w:rPr>
        <w:t>For</w:t>
      </w:r>
      <w:r w:rsidR="00FE0AD2">
        <w:rPr>
          <w:rFonts w:eastAsia="맑은 고딕"/>
          <w:kern w:val="2"/>
          <w:sz w:val="22"/>
          <w:szCs w:val="22"/>
          <w:lang w:val="en-US" w:eastAsia="ko-KR"/>
        </w:rPr>
        <w:t xml:space="preserve"> normal subframes, t</w:t>
      </w:r>
      <w:r w:rsidR="005C09CD">
        <w:rPr>
          <w:rFonts w:eastAsia="맑은 고딕"/>
          <w:kern w:val="2"/>
          <w:sz w:val="22"/>
          <w:szCs w:val="22"/>
          <w:lang w:val="en-US" w:eastAsia="ko-KR"/>
        </w:rPr>
        <w:t xml:space="preserve">he </w:t>
      </w:r>
      <w:r w:rsidR="00BE4116">
        <w:rPr>
          <w:rFonts w:eastAsia="맑은 고딕"/>
          <w:kern w:val="2"/>
          <w:sz w:val="22"/>
          <w:szCs w:val="22"/>
          <w:lang w:val="en-US" w:eastAsia="ko-KR"/>
        </w:rPr>
        <w:t>increase</w:t>
      </w:r>
      <w:r w:rsidR="00516B09">
        <w:rPr>
          <w:rFonts w:eastAsia="맑은 고딕"/>
          <w:kern w:val="2"/>
          <w:sz w:val="22"/>
          <w:szCs w:val="22"/>
          <w:lang w:val="en-US" w:eastAsia="ko-KR"/>
        </w:rPr>
        <w:t xml:space="preserve"> in data rate</w:t>
      </w:r>
      <w:r w:rsidR="005C09CD">
        <w:rPr>
          <w:rFonts w:eastAsia="맑은 고딕"/>
          <w:kern w:val="2"/>
          <w:sz w:val="22"/>
          <w:szCs w:val="22"/>
          <w:lang w:val="en-US" w:eastAsia="ko-KR"/>
        </w:rPr>
        <w:t xml:space="preserve"> </w:t>
      </w:r>
      <w:r w:rsidR="00FE0AD2">
        <w:rPr>
          <w:rFonts w:eastAsia="맑은 고딕"/>
          <w:kern w:val="2"/>
          <w:sz w:val="22"/>
          <w:szCs w:val="22"/>
          <w:lang w:val="en-US" w:eastAsia="ko-KR"/>
        </w:rPr>
        <w:t>may not be</w:t>
      </w:r>
      <w:r w:rsidR="005C09CD">
        <w:rPr>
          <w:rFonts w:eastAsia="맑은 고딕"/>
          <w:kern w:val="2"/>
          <w:sz w:val="22"/>
          <w:szCs w:val="22"/>
          <w:lang w:val="en-US" w:eastAsia="ko-KR"/>
        </w:rPr>
        <w:t xml:space="preserve"> big </w:t>
      </w:r>
      <w:r w:rsidR="00FE0AD2">
        <w:rPr>
          <w:rFonts w:eastAsia="맑은 고딕"/>
          <w:kern w:val="2"/>
          <w:sz w:val="22"/>
          <w:szCs w:val="22"/>
          <w:lang w:val="en-US" w:eastAsia="ko-KR"/>
        </w:rPr>
        <w:t>enough</w:t>
      </w:r>
      <w:r w:rsidR="005C09CD">
        <w:rPr>
          <w:rFonts w:eastAsia="맑은 고딕"/>
          <w:kern w:val="2"/>
          <w:sz w:val="22"/>
          <w:szCs w:val="22"/>
          <w:lang w:val="en-US" w:eastAsia="ko-KR"/>
        </w:rPr>
        <w:t>, but in the case of special subframe</w:t>
      </w:r>
      <w:r w:rsidR="00BE4116">
        <w:rPr>
          <w:rFonts w:eastAsia="맑은 고딕"/>
          <w:kern w:val="2"/>
          <w:sz w:val="22"/>
          <w:szCs w:val="22"/>
          <w:lang w:val="en-US" w:eastAsia="ko-KR"/>
        </w:rPr>
        <w:t>s</w:t>
      </w:r>
      <w:r w:rsidR="005C09CD">
        <w:rPr>
          <w:rFonts w:eastAsia="맑은 고딕"/>
          <w:kern w:val="2"/>
          <w:sz w:val="22"/>
          <w:szCs w:val="22"/>
          <w:lang w:val="en-US" w:eastAsia="ko-KR"/>
        </w:rPr>
        <w:t xml:space="preserve"> </w:t>
      </w:r>
      <w:r w:rsidR="00BE4116">
        <w:rPr>
          <w:rFonts w:eastAsia="맑은 고딕"/>
          <w:kern w:val="2"/>
          <w:sz w:val="22"/>
          <w:szCs w:val="22"/>
          <w:lang w:val="en-US" w:eastAsia="ko-KR"/>
        </w:rPr>
        <w:t xml:space="preserve">especially </w:t>
      </w:r>
      <w:r w:rsidR="005C09CD">
        <w:rPr>
          <w:rFonts w:eastAsia="맑은 고딕"/>
          <w:kern w:val="2"/>
          <w:sz w:val="22"/>
          <w:szCs w:val="22"/>
          <w:lang w:val="en-US" w:eastAsia="ko-KR"/>
        </w:rPr>
        <w:t>with small number of DwPTS symbols</w:t>
      </w:r>
      <w:r w:rsidR="00BE4116">
        <w:rPr>
          <w:rFonts w:eastAsia="맑은 고딕"/>
          <w:kern w:val="2"/>
          <w:sz w:val="22"/>
          <w:szCs w:val="22"/>
          <w:lang w:val="en-US" w:eastAsia="ko-KR"/>
        </w:rPr>
        <w:t>,</w:t>
      </w:r>
      <w:r w:rsidR="005C09CD">
        <w:rPr>
          <w:rFonts w:eastAsia="맑은 고딕"/>
          <w:kern w:val="2"/>
          <w:sz w:val="22"/>
          <w:szCs w:val="22"/>
          <w:lang w:val="en-US" w:eastAsia="ko-KR"/>
        </w:rPr>
        <w:t xml:space="preserve"> the increase</w:t>
      </w:r>
      <w:r w:rsidR="00516B09">
        <w:rPr>
          <w:rFonts w:eastAsia="맑은 고딕"/>
          <w:kern w:val="2"/>
          <w:sz w:val="22"/>
          <w:szCs w:val="22"/>
          <w:lang w:val="en-US" w:eastAsia="ko-KR"/>
        </w:rPr>
        <w:t xml:space="preserve"> in data rate</w:t>
      </w:r>
      <w:r w:rsidR="005C09CD">
        <w:rPr>
          <w:rFonts w:eastAsia="맑은 고딕"/>
          <w:kern w:val="2"/>
          <w:sz w:val="22"/>
          <w:szCs w:val="22"/>
          <w:lang w:val="en-US" w:eastAsia="ko-KR"/>
        </w:rPr>
        <w:t xml:space="preserve"> </w:t>
      </w:r>
      <w:r w:rsidR="00516B09">
        <w:rPr>
          <w:rFonts w:eastAsia="맑은 고딕"/>
          <w:kern w:val="2"/>
          <w:sz w:val="22"/>
          <w:szCs w:val="22"/>
          <w:lang w:val="en-US" w:eastAsia="ko-KR"/>
        </w:rPr>
        <w:t xml:space="preserve">may not be </w:t>
      </w:r>
      <w:r w:rsidR="005C09CD">
        <w:rPr>
          <w:rFonts w:eastAsia="맑은 고딕"/>
          <w:kern w:val="2"/>
          <w:sz w:val="22"/>
          <w:szCs w:val="22"/>
          <w:lang w:val="en-US" w:eastAsia="ko-KR"/>
        </w:rPr>
        <w:t>small</w:t>
      </w:r>
      <w:r>
        <w:rPr>
          <w:rFonts w:eastAsia="맑은 고딕"/>
          <w:kern w:val="2"/>
          <w:sz w:val="22"/>
          <w:szCs w:val="22"/>
          <w:lang w:val="en-US" w:eastAsia="ko-KR"/>
        </w:rPr>
        <w:t xml:space="preserve"> </w:t>
      </w:r>
      <w:r w:rsidR="00FE0AD2">
        <w:rPr>
          <w:rFonts w:eastAsia="맑은 고딕"/>
          <w:kern w:val="2"/>
          <w:sz w:val="22"/>
          <w:szCs w:val="22"/>
          <w:lang w:val="en-US" w:eastAsia="ko-KR"/>
        </w:rPr>
        <w:t xml:space="preserve">anymore and therefore the TBS scaling can be </w:t>
      </w:r>
      <w:r w:rsidR="00BE4116">
        <w:rPr>
          <w:rFonts w:eastAsia="맑은 고딕"/>
          <w:kern w:val="2"/>
          <w:sz w:val="22"/>
          <w:szCs w:val="22"/>
          <w:lang w:val="en-US" w:eastAsia="ko-KR"/>
        </w:rPr>
        <w:t xml:space="preserve">more </w:t>
      </w:r>
      <w:r w:rsidR="00FE0AD2">
        <w:rPr>
          <w:rFonts w:eastAsia="맑은 고딕"/>
          <w:kern w:val="2"/>
          <w:sz w:val="22"/>
          <w:szCs w:val="22"/>
          <w:lang w:val="en-US" w:eastAsia="ko-KR"/>
        </w:rPr>
        <w:t xml:space="preserve">beneficial in this case. </w:t>
      </w:r>
      <w:r w:rsidR="00BE4116">
        <w:rPr>
          <w:rFonts w:eastAsia="맑은 고딕"/>
          <w:kern w:val="2"/>
          <w:sz w:val="22"/>
          <w:szCs w:val="22"/>
          <w:lang w:val="en-US" w:eastAsia="ko-KR"/>
        </w:rPr>
        <w:t>The TBS scaling can be done in such a way to transmit a larger TBS in proportion to the increase</w:t>
      </w:r>
      <w:r w:rsidR="00516B09">
        <w:rPr>
          <w:rFonts w:eastAsia="맑은 고딕"/>
          <w:kern w:val="2"/>
          <w:sz w:val="22"/>
          <w:szCs w:val="22"/>
          <w:lang w:val="en-US" w:eastAsia="ko-KR"/>
        </w:rPr>
        <w:t>d</w:t>
      </w:r>
      <w:r w:rsidR="00BE4116">
        <w:rPr>
          <w:rFonts w:eastAsia="맑은 고딕"/>
          <w:kern w:val="2"/>
          <w:sz w:val="22"/>
          <w:szCs w:val="22"/>
          <w:lang w:val="en-US" w:eastAsia="ko-KR"/>
        </w:rPr>
        <w:t xml:space="preserve"> number of symbols. </w:t>
      </w:r>
    </w:p>
    <w:p w14:paraId="0AC8700D" w14:textId="4C04C6DE" w:rsidR="00086DD2" w:rsidRPr="00086DD2" w:rsidRDefault="00086DD2" w:rsidP="00E20DF8">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sidR="009E28DA">
        <w:rPr>
          <w:rFonts w:eastAsia="맑은 고딕"/>
          <w:b/>
          <w:i/>
          <w:kern w:val="2"/>
          <w:sz w:val="22"/>
          <w:szCs w:val="22"/>
          <w:lang w:val="en-US" w:eastAsia="ko-KR"/>
        </w:rPr>
        <w:t>3</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467F5B25" w14:textId="77777777" w:rsidR="00086DD2" w:rsidRPr="00086DD2" w:rsidRDefault="00086DD2" w:rsidP="00086DD2">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details of TBS scaling</w:t>
      </w:r>
    </w:p>
    <w:p w14:paraId="1ED86BAB" w14:textId="77777777" w:rsidR="00086DD2" w:rsidRPr="00086DD2" w:rsidRDefault="00086DD2" w:rsidP="00EB60CC">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094399A8" w14:textId="04F6D765" w:rsidR="00825D16" w:rsidRDefault="00D57429" w:rsidP="00595BF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PDSCH mapped in LTE control region is for Rel.16 LTE MTC UEs capable of using LTE control region for DL transmission, the LTE control region can be used to transmit additional parity bits</w:t>
      </w:r>
      <w:r w:rsidR="005A0225">
        <w:rPr>
          <w:rFonts w:eastAsia="맑은 고딕"/>
          <w:kern w:val="2"/>
          <w:sz w:val="22"/>
          <w:szCs w:val="22"/>
          <w:lang w:val="en-US" w:eastAsia="ko-KR"/>
        </w:rPr>
        <w:t xml:space="preserve"> effectively lowering the code rate. As the code rate becomes lower, it can be considered to reduce the number of repetitions in inverse proportion to the increased number of OFDM symbols for PDSCH transmission</w:t>
      </w:r>
      <w:r w:rsidR="006B7A89">
        <w:rPr>
          <w:rFonts w:eastAsia="맑은 고딕"/>
          <w:kern w:val="2"/>
          <w:sz w:val="22"/>
          <w:szCs w:val="22"/>
          <w:lang w:val="en-US" w:eastAsia="ko-KR"/>
        </w:rPr>
        <w:t xml:space="preserve"> due to the use of LTE control region</w:t>
      </w:r>
      <w:r w:rsidR="005A0225">
        <w:rPr>
          <w:rFonts w:eastAsia="맑은 고딕"/>
          <w:kern w:val="2"/>
          <w:sz w:val="22"/>
          <w:szCs w:val="22"/>
          <w:lang w:val="en-US" w:eastAsia="ko-KR"/>
        </w:rPr>
        <w:t>. The same applies to the case where part of MPDCCH is mapped in LTE control region as it also effectively lowers the code rate by repetition.</w:t>
      </w:r>
    </w:p>
    <w:p w14:paraId="026B9D97" w14:textId="64020FF6" w:rsidR="00086DD2" w:rsidRPr="00086DD2" w:rsidRDefault="00086DD2" w:rsidP="00E20DF8">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sidR="00A807C5">
        <w:rPr>
          <w:rFonts w:eastAsia="맑은 고딕"/>
          <w:b/>
          <w:i/>
          <w:kern w:val="2"/>
          <w:sz w:val="22"/>
          <w:szCs w:val="22"/>
          <w:lang w:val="en-US" w:eastAsia="ko-KR"/>
        </w:rPr>
        <w:t>4</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75894BE8" w14:textId="77777777" w:rsidR="00086DD2" w:rsidRDefault="00086DD2" w:rsidP="00086DD2">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 xml:space="preserve">FFS details of how to scale the repetition number </w:t>
      </w:r>
    </w:p>
    <w:p w14:paraId="44DE290C"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19D98C8D" w14:textId="3B53BB6D" w:rsidR="00CF4BEA" w:rsidRDefault="00F21CD1" w:rsidP="00595BF7">
      <w:pPr>
        <w:spacing w:before="120" w:after="120" w:line="240" w:lineRule="auto"/>
        <w:ind w:left="0" w:firstLine="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D0021A">
        <w:rPr>
          <w:rFonts w:eastAsia="맑은 고딕" w:hint="eastAsia"/>
          <w:kern w:val="2"/>
          <w:sz w:val="22"/>
          <w:szCs w:val="22"/>
          <w:lang w:val="en-US" w:eastAsia="ko-KR"/>
        </w:rPr>
        <w:t xml:space="preserve">we </w:t>
      </w:r>
      <w:r w:rsidR="00D0021A">
        <w:rPr>
          <w:rFonts w:eastAsia="맑은 고딕"/>
          <w:kern w:val="2"/>
          <w:sz w:val="22"/>
          <w:szCs w:val="22"/>
          <w:lang w:val="en-US" w:eastAsia="ko-KR"/>
        </w:rPr>
        <w:t xml:space="preserve">discussed </w:t>
      </w:r>
      <w:r w:rsidR="000B59D7">
        <w:rPr>
          <w:rFonts w:eastAsia="맑은 고딕"/>
          <w:kern w:val="2"/>
          <w:sz w:val="22"/>
          <w:szCs w:val="22"/>
          <w:lang w:eastAsia="ko-KR"/>
        </w:rPr>
        <w:t>details and open issues of MPDCCH/PDSCH RE mapping</w:t>
      </w:r>
      <w:r w:rsidR="00595BF7" w:rsidRPr="00595BF7">
        <w:rPr>
          <w:rFonts w:eastAsia="맑은 고딕"/>
          <w:kern w:val="2"/>
          <w:sz w:val="22"/>
          <w:szCs w:val="22"/>
          <w:lang w:val="en-US" w:eastAsia="ko-KR"/>
        </w:rPr>
        <w:t xml:space="preserve">. </w:t>
      </w:r>
      <w:r w:rsidR="00595BF7">
        <w:rPr>
          <w:rFonts w:eastAsia="맑은 고딕"/>
          <w:kern w:val="2"/>
          <w:sz w:val="22"/>
          <w:szCs w:val="22"/>
          <w:lang w:val="en-US" w:eastAsia="ko-KR"/>
        </w:rPr>
        <w:t>Our p</w:t>
      </w:r>
      <w:r w:rsidR="00595BF7" w:rsidRPr="00595BF7">
        <w:rPr>
          <w:rFonts w:eastAsia="맑은 고딕"/>
          <w:kern w:val="2"/>
          <w:sz w:val="22"/>
          <w:szCs w:val="22"/>
          <w:lang w:val="en-US" w:eastAsia="ko-KR"/>
        </w:rPr>
        <w:t>roposals are as follows.</w:t>
      </w:r>
    </w:p>
    <w:p w14:paraId="1AA88C14" w14:textId="77777777" w:rsidR="00DC387F" w:rsidRDefault="00DC387F" w:rsidP="00E20DF8">
      <w:pPr>
        <w:spacing w:before="0"/>
        <w:ind w:left="220" w:firstLine="0"/>
        <w:rPr>
          <w:b/>
          <w:i/>
          <w:sz w:val="22"/>
        </w:rPr>
      </w:pPr>
      <w:r w:rsidRPr="00B84270">
        <w:rPr>
          <w:b/>
          <w:i/>
          <w:sz w:val="22"/>
        </w:rPr>
        <w:t xml:space="preserve">Proposal 1: </w:t>
      </w:r>
      <w:r>
        <w:rPr>
          <w:b/>
          <w:i/>
          <w:sz w:val="22"/>
        </w:rPr>
        <w:t>Use of LTE control region for MPDCCH transmission is not supported in TDD special subframes 9 and 10.</w:t>
      </w:r>
    </w:p>
    <w:p w14:paraId="4F1288BF" w14:textId="77777777" w:rsidR="00DC387F" w:rsidRPr="00661A5C" w:rsidRDefault="00DC387F" w:rsidP="00EB60CC">
      <w:pPr>
        <w:numPr>
          <w:ilvl w:val="0"/>
          <w:numId w:val="22"/>
        </w:numPr>
        <w:spacing w:line="259" w:lineRule="auto"/>
        <w:rPr>
          <w:b/>
          <w:i/>
          <w:sz w:val="22"/>
        </w:rPr>
      </w:pPr>
      <w:bookmarkStart w:id="3" w:name="_GoBack"/>
      <w:bookmarkEnd w:id="3"/>
      <w:r>
        <w:rPr>
          <w:rFonts w:eastAsiaTheme="minorEastAsia" w:hint="eastAsia"/>
          <w:b/>
          <w:i/>
          <w:sz w:val="22"/>
          <w:lang w:eastAsia="ko-KR"/>
        </w:rPr>
        <w:t xml:space="preserve">Other than </w:t>
      </w:r>
      <w:r>
        <w:rPr>
          <w:rFonts w:eastAsiaTheme="minorEastAsia"/>
          <w:b/>
          <w:i/>
          <w:sz w:val="22"/>
          <w:lang w:eastAsia="ko-KR"/>
        </w:rPr>
        <w:t xml:space="preserve">TDD special subframes 9 and 10, </w:t>
      </w:r>
      <w:r w:rsidRPr="00190230">
        <w:rPr>
          <w:rFonts w:eastAsiaTheme="minorEastAsia"/>
          <w:b/>
          <w:i/>
          <w:sz w:val="22"/>
          <w:lang w:eastAsia="ko-KR"/>
        </w:rPr>
        <w:t>the special subframe usage</w:t>
      </w:r>
      <w:r>
        <w:rPr>
          <w:rFonts w:eastAsiaTheme="minorEastAsia"/>
          <w:b/>
          <w:i/>
          <w:sz w:val="22"/>
          <w:lang w:eastAsia="ko-KR"/>
        </w:rPr>
        <w:t xml:space="preserve"> for MPDCCH/PDSCH</w:t>
      </w:r>
      <w:r w:rsidRPr="00190230">
        <w:rPr>
          <w:rFonts w:eastAsiaTheme="minorEastAsia"/>
          <w:b/>
          <w:i/>
          <w:sz w:val="22"/>
          <w:lang w:eastAsia="ko-KR"/>
        </w:rPr>
        <w:t xml:space="preserve"> is the same as Rel-13</w:t>
      </w:r>
    </w:p>
    <w:p w14:paraId="167F5B2E" w14:textId="77777777" w:rsidR="00DC387F" w:rsidRDefault="00DC387F" w:rsidP="00E20DF8">
      <w:pPr>
        <w:spacing w:before="120"/>
        <w:ind w:left="220" w:firstLine="0"/>
        <w:rPr>
          <w:b/>
          <w:i/>
          <w:sz w:val="22"/>
        </w:rPr>
      </w:pPr>
      <w:r>
        <w:rPr>
          <w:b/>
          <w:i/>
          <w:sz w:val="22"/>
        </w:rPr>
        <w:t>Proposal 2: T</w:t>
      </w:r>
      <w:r w:rsidRPr="00DB2327">
        <w:rPr>
          <w:b/>
          <w:i/>
          <w:sz w:val="22"/>
        </w:rPr>
        <w:t>he re</w:t>
      </w:r>
      <w:r>
        <w:rPr>
          <w:b/>
          <w:i/>
          <w:sz w:val="22"/>
        </w:rPr>
        <w:t xml:space="preserve">source elements used for MPDCCH and mapped in LTE control region include </w:t>
      </w:r>
    </w:p>
    <w:p w14:paraId="2ED9ABAF" w14:textId="77777777" w:rsidR="00DC387F" w:rsidRDefault="00DC387F" w:rsidP="00DC387F">
      <w:pPr>
        <w:numPr>
          <w:ilvl w:val="0"/>
          <w:numId w:val="22"/>
        </w:numPr>
        <w:spacing w:after="0" w:line="259" w:lineRule="auto"/>
        <w:rPr>
          <w:rFonts w:eastAsia="맑은 고딕"/>
          <w:b/>
          <w:i/>
          <w:sz w:val="22"/>
          <w:szCs w:val="22"/>
        </w:rPr>
      </w:pPr>
      <w:r w:rsidRPr="00A95661">
        <w:rPr>
          <w:rFonts w:eastAsia="맑은 고딕"/>
          <w:b/>
          <w:i/>
          <w:sz w:val="22"/>
          <w:szCs w:val="22"/>
          <w:lang w:val="en-US"/>
        </w:rPr>
        <w:t xml:space="preserve">Resource elements </w:t>
      </w:r>
      <w:r>
        <w:rPr>
          <w:rFonts w:eastAsia="맑은 고딕"/>
          <w:b/>
          <w:i/>
          <w:sz w:val="22"/>
          <w:szCs w:val="22"/>
        </w:rPr>
        <w:t>containing</w:t>
      </w:r>
      <w:r w:rsidRPr="00A95661">
        <w:rPr>
          <w:rFonts w:eastAsia="맑은 고딕"/>
          <w:b/>
          <w:i/>
          <w:sz w:val="22"/>
          <w:szCs w:val="22"/>
          <w:lang w:val="en-US"/>
        </w:rPr>
        <w:t xml:space="preserve"> MPDCCH DMRS</w:t>
      </w:r>
      <w:r>
        <w:rPr>
          <w:rFonts w:eastAsia="맑은 고딕"/>
          <w:b/>
          <w:i/>
          <w:sz w:val="22"/>
          <w:szCs w:val="22"/>
        </w:rPr>
        <w:t xml:space="preserve"> </w:t>
      </w:r>
    </w:p>
    <w:p w14:paraId="4E6CC03D" w14:textId="145C24F1" w:rsidR="00114396" w:rsidRDefault="00DC387F" w:rsidP="00EB60CC">
      <w:pPr>
        <w:numPr>
          <w:ilvl w:val="0"/>
          <w:numId w:val="22"/>
        </w:numPr>
        <w:spacing w:before="0" w:line="259" w:lineRule="auto"/>
        <w:rPr>
          <w:rFonts w:eastAsia="맑은 고딕"/>
          <w:b/>
          <w:i/>
          <w:sz w:val="22"/>
          <w:szCs w:val="22"/>
        </w:rPr>
      </w:pPr>
      <w:r w:rsidRPr="00EB60CC">
        <w:rPr>
          <w:rFonts w:eastAsia="맑은 고딕"/>
          <w:b/>
          <w:i/>
          <w:sz w:val="22"/>
          <w:szCs w:val="22"/>
        </w:rPr>
        <w:lastRenderedPageBreak/>
        <w:t>FFS CSI-RS REs puncturing MPDCCH transmission REs</w:t>
      </w:r>
    </w:p>
    <w:p w14:paraId="0C7897AB" w14:textId="77777777" w:rsidR="00114396" w:rsidRPr="00086DD2" w:rsidRDefault="00114396" w:rsidP="00E20DF8">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Pr>
          <w:rFonts w:eastAsia="맑은 고딕"/>
          <w:b/>
          <w:i/>
          <w:kern w:val="2"/>
          <w:sz w:val="22"/>
          <w:szCs w:val="22"/>
          <w:lang w:val="en-US" w:eastAsia="ko-KR"/>
        </w:rPr>
        <w:t>3</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095F33B2" w14:textId="77777777" w:rsidR="00114396" w:rsidRPr="00086DD2" w:rsidRDefault="00114396" w:rsidP="00114396">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details of TBS scaling</w:t>
      </w:r>
    </w:p>
    <w:p w14:paraId="244EEC76" w14:textId="77777777" w:rsidR="00114396" w:rsidRPr="00086DD2" w:rsidRDefault="00114396" w:rsidP="00EB60CC">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4D221DB4" w14:textId="77777777" w:rsidR="00114396" w:rsidRPr="00086DD2" w:rsidRDefault="00114396" w:rsidP="00E20DF8">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Pr>
          <w:rFonts w:eastAsia="맑은 고딕"/>
          <w:b/>
          <w:i/>
          <w:kern w:val="2"/>
          <w:sz w:val="22"/>
          <w:szCs w:val="22"/>
          <w:lang w:val="en-US" w:eastAsia="ko-KR"/>
        </w:rPr>
        <w:t>4</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30DA514B" w14:textId="77777777" w:rsidR="00114396" w:rsidRDefault="00114396" w:rsidP="00114396">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 xml:space="preserve">FFS details of how to scale the repetition number </w:t>
      </w:r>
    </w:p>
    <w:p w14:paraId="0D2524FE"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1A313866" w14:textId="04534884" w:rsidR="005C0E1B" w:rsidRPr="00963F0A" w:rsidRDefault="00634E41" w:rsidP="00EB60CC">
      <w:pPr>
        <w:pStyle w:val="References"/>
        <w:tabs>
          <w:tab w:val="clear" w:pos="6031"/>
        </w:tabs>
        <w:ind w:left="851" w:hanging="425"/>
        <w:rPr>
          <w:rFonts w:eastAsia="맑은 고딕"/>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sectPr w:rsidR="005C0E1B" w:rsidRPr="00963F0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A052F" w14:textId="77777777" w:rsidR="006745C1" w:rsidRDefault="006745C1" w:rsidP="00CB15B0">
      <w:pPr>
        <w:spacing w:before="0" w:after="0" w:line="240" w:lineRule="auto"/>
      </w:pPr>
      <w:r>
        <w:separator/>
      </w:r>
    </w:p>
  </w:endnote>
  <w:endnote w:type="continuationSeparator" w:id="0">
    <w:p w14:paraId="1506CAFF" w14:textId="77777777" w:rsidR="006745C1" w:rsidRDefault="006745C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C62B4" w14:textId="77777777" w:rsidR="006745C1" w:rsidRDefault="006745C1" w:rsidP="00CB15B0">
      <w:pPr>
        <w:spacing w:before="0" w:after="0" w:line="240" w:lineRule="auto"/>
      </w:pPr>
      <w:r>
        <w:separator/>
      </w:r>
    </w:p>
  </w:footnote>
  <w:footnote w:type="continuationSeparator" w:id="0">
    <w:p w14:paraId="3D7FCE0F" w14:textId="77777777" w:rsidR="006745C1" w:rsidRDefault="006745C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E30C6"/>
    <w:multiLevelType w:val="hybridMultilevel"/>
    <w:tmpl w:val="C00E6440"/>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B9975CA"/>
    <w:multiLevelType w:val="hybridMultilevel"/>
    <w:tmpl w:val="4C8613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1D376E25"/>
    <w:multiLevelType w:val="hybridMultilevel"/>
    <w:tmpl w:val="3A30D46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nsid w:val="1F3147CF"/>
    <w:multiLevelType w:val="hybridMultilevel"/>
    <w:tmpl w:val="025A914E"/>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36781C"/>
    <w:multiLevelType w:val="hybridMultilevel"/>
    <w:tmpl w:val="38965EBC"/>
    <w:lvl w:ilvl="0" w:tplc="193EE728">
      <w:start w:val="1"/>
      <w:numFmt w:val="bullet"/>
      <w:lvlText w:val="•"/>
      <w:lvlJc w:val="left"/>
      <w:pPr>
        <w:ind w:left="1880" w:hanging="400"/>
      </w:pPr>
      <w:rPr>
        <w:rFonts w:ascii="Arial" w:hAnsi="Arial" w:hint="default"/>
        <w:sz w:val="24"/>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16">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31CA58A8"/>
    <w:multiLevelType w:val="hybridMultilevel"/>
    <w:tmpl w:val="B4384278"/>
    <w:lvl w:ilvl="0" w:tplc="949E1A6A">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4F815115"/>
    <w:multiLevelType w:val="hybridMultilevel"/>
    <w:tmpl w:val="AD9EF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9">
    <w:nsid w:val="55BB30F6"/>
    <w:multiLevelType w:val="multilevel"/>
    <w:tmpl w:val="D02A977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nsid w:val="5BA34703"/>
    <w:multiLevelType w:val="hybridMultilevel"/>
    <w:tmpl w:val="86AAB2C4"/>
    <w:lvl w:ilvl="0" w:tplc="5F24627C">
      <w:start w:val="3"/>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6190A43"/>
    <w:multiLevelType w:val="hybridMultilevel"/>
    <w:tmpl w:val="159EC31A"/>
    <w:lvl w:ilvl="0" w:tplc="20CECDE2">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3">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2377358"/>
    <w:multiLevelType w:val="hybridMultilevel"/>
    <w:tmpl w:val="FA16DABE"/>
    <w:lvl w:ilvl="0" w:tplc="D4F8BE10">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5">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6">
    <w:nsid w:val="770F4A60"/>
    <w:multiLevelType w:val="hybridMultilevel"/>
    <w:tmpl w:val="A8983A26"/>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8">
    <w:nsid w:val="7BEA2643"/>
    <w:multiLevelType w:val="hybridMultilevel"/>
    <w:tmpl w:val="34BEC2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0">
    <w:nsid w:val="7E717E0C"/>
    <w:multiLevelType w:val="hybridMultilevel"/>
    <w:tmpl w:val="B1E2BE9C"/>
    <w:lvl w:ilvl="0" w:tplc="193EE728">
      <w:start w:val="1"/>
      <w:numFmt w:val="bullet"/>
      <w:lvlText w:val="•"/>
      <w:lvlJc w:val="left"/>
      <w:pPr>
        <w:ind w:left="400" w:hanging="400"/>
      </w:pPr>
      <w:rPr>
        <w:rFonts w:ascii="Arial" w:hAnsi="Arial" w:hint="default"/>
        <w:sz w:val="24"/>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23"/>
  </w:num>
  <w:num w:numId="4">
    <w:abstractNumId w:val="16"/>
  </w:num>
  <w:num w:numId="5">
    <w:abstractNumId w:val="39"/>
  </w:num>
  <w:num w:numId="6">
    <w:abstractNumId w:val="13"/>
  </w:num>
  <w:num w:numId="7">
    <w:abstractNumId w:val="21"/>
  </w:num>
  <w:num w:numId="8">
    <w:abstractNumId w:val="35"/>
  </w:num>
  <w:num w:numId="9">
    <w:abstractNumId w:val="17"/>
  </w:num>
  <w:num w:numId="10">
    <w:abstractNumId w:val="24"/>
  </w:num>
  <w:num w:numId="11">
    <w:abstractNumId w:val="31"/>
  </w:num>
  <w:num w:numId="12">
    <w:abstractNumId w:val="4"/>
  </w:num>
  <w:num w:numId="13">
    <w:abstractNumId w:val="3"/>
  </w:num>
  <w:num w:numId="14">
    <w:abstractNumId w:val="2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6"/>
  </w:num>
  <w:num w:numId="18">
    <w:abstractNumId w:val="12"/>
  </w:num>
  <w:num w:numId="19">
    <w:abstractNumId w:val="10"/>
  </w:num>
  <w:num w:numId="20">
    <w:abstractNumId w:val="2"/>
  </w:num>
  <w:num w:numId="21">
    <w:abstractNumId w:val="37"/>
  </w:num>
  <w:num w:numId="22">
    <w:abstractNumId w:val="36"/>
  </w:num>
  <w:num w:numId="23">
    <w:abstractNumId w:val="22"/>
  </w:num>
  <w:num w:numId="24">
    <w:abstractNumId w:val="5"/>
  </w:num>
  <w:num w:numId="25">
    <w:abstractNumId w:val="27"/>
  </w:num>
  <w:num w:numId="26">
    <w:abstractNumId w:val="23"/>
  </w:num>
  <w:num w:numId="27">
    <w:abstractNumId w:val="23"/>
  </w:num>
  <w:num w:numId="28">
    <w:abstractNumId w:val="40"/>
  </w:num>
  <w:num w:numId="29">
    <w:abstractNumId w:val="32"/>
  </w:num>
  <w:num w:numId="30">
    <w:abstractNumId w:val="1"/>
  </w:num>
  <w:num w:numId="31">
    <w:abstractNumId w:val="38"/>
  </w:num>
  <w:num w:numId="32">
    <w:abstractNumId w:val="9"/>
  </w:num>
  <w:num w:numId="33">
    <w:abstractNumId w:val="7"/>
  </w:num>
  <w:num w:numId="34">
    <w:abstractNumId w:val="11"/>
  </w:num>
  <w:num w:numId="35">
    <w:abstractNumId w:val="29"/>
  </w:num>
  <w:num w:numId="36">
    <w:abstractNumId w:val="34"/>
  </w:num>
  <w:num w:numId="37">
    <w:abstractNumId w:val="30"/>
  </w:num>
  <w:num w:numId="38">
    <w:abstractNumId w:val="20"/>
  </w:num>
  <w:num w:numId="39">
    <w:abstractNumId w:val="6"/>
  </w:num>
  <w:num w:numId="40">
    <w:abstractNumId w:val="41"/>
  </w:num>
  <w:num w:numId="41">
    <w:abstractNumId w:val="14"/>
  </w:num>
  <w:num w:numId="42">
    <w:abstractNumId w:val="15"/>
  </w:num>
  <w:num w:numId="43">
    <w:abstractNumId w:val="25"/>
  </w:num>
  <w:num w:numId="44">
    <w:abstractNumId w:val="18"/>
  </w:num>
  <w:num w:numId="4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95E"/>
    <w:rsid w:val="00005A6B"/>
    <w:rsid w:val="00005AAF"/>
    <w:rsid w:val="00005BB2"/>
    <w:rsid w:val="00006605"/>
    <w:rsid w:val="0000699B"/>
    <w:rsid w:val="00006F56"/>
    <w:rsid w:val="000071C3"/>
    <w:rsid w:val="00007F71"/>
    <w:rsid w:val="0001019D"/>
    <w:rsid w:val="000103B9"/>
    <w:rsid w:val="000105AE"/>
    <w:rsid w:val="000107E5"/>
    <w:rsid w:val="00010851"/>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483"/>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46"/>
    <w:rsid w:val="00024DD0"/>
    <w:rsid w:val="00025352"/>
    <w:rsid w:val="000258B7"/>
    <w:rsid w:val="00026A2E"/>
    <w:rsid w:val="00026B5A"/>
    <w:rsid w:val="000278C9"/>
    <w:rsid w:val="00027AEA"/>
    <w:rsid w:val="00027D5A"/>
    <w:rsid w:val="00031028"/>
    <w:rsid w:val="000312CA"/>
    <w:rsid w:val="00031654"/>
    <w:rsid w:val="00031838"/>
    <w:rsid w:val="00031B83"/>
    <w:rsid w:val="000322B4"/>
    <w:rsid w:val="00033221"/>
    <w:rsid w:val="0003348E"/>
    <w:rsid w:val="000339FA"/>
    <w:rsid w:val="00033C66"/>
    <w:rsid w:val="00033CEA"/>
    <w:rsid w:val="00033DB1"/>
    <w:rsid w:val="00034614"/>
    <w:rsid w:val="00034A2A"/>
    <w:rsid w:val="000354F8"/>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47C46"/>
    <w:rsid w:val="00050098"/>
    <w:rsid w:val="00050CC8"/>
    <w:rsid w:val="00051990"/>
    <w:rsid w:val="00051A8C"/>
    <w:rsid w:val="00052457"/>
    <w:rsid w:val="00052826"/>
    <w:rsid w:val="000528FD"/>
    <w:rsid w:val="00052D37"/>
    <w:rsid w:val="00052ECE"/>
    <w:rsid w:val="000530EC"/>
    <w:rsid w:val="00053154"/>
    <w:rsid w:val="000537D9"/>
    <w:rsid w:val="00053917"/>
    <w:rsid w:val="00053E00"/>
    <w:rsid w:val="00054578"/>
    <w:rsid w:val="0005461E"/>
    <w:rsid w:val="00055015"/>
    <w:rsid w:val="00055060"/>
    <w:rsid w:val="00055105"/>
    <w:rsid w:val="00055BAB"/>
    <w:rsid w:val="00055C7F"/>
    <w:rsid w:val="00055EF9"/>
    <w:rsid w:val="00056224"/>
    <w:rsid w:val="000570EE"/>
    <w:rsid w:val="0005771D"/>
    <w:rsid w:val="000577CB"/>
    <w:rsid w:val="000579FD"/>
    <w:rsid w:val="000600BF"/>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42"/>
    <w:rsid w:val="00080F82"/>
    <w:rsid w:val="0008147C"/>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6DD2"/>
    <w:rsid w:val="000871B0"/>
    <w:rsid w:val="00087E4E"/>
    <w:rsid w:val="000901A2"/>
    <w:rsid w:val="00091077"/>
    <w:rsid w:val="0009180F"/>
    <w:rsid w:val="00091824"/>
    <w:rsid w:val="00091CEF"/>
    <w:rsid w:val="00091E9A"/>
    <w:rsid w:val="000929B4"/>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9CA"/>
    <w:rsid w:val="00097E31"/>
    <w:rsid w:val="000A0066"/>
    <w:rsid w:val="000A00D7"/>
    <w:rsid w:val="000A013D"/>
    <w:rsid w:val="000A049C"/>
    <w:rsid w:val="000A09ED"/>
    <w:rsid w:val="000A0AD7"/>
    <w:rsid w:val="000A0EEB"/>
    <w:rsid w:val="000A1543"/>
    <w:rsid w:val="000A1880"/>
    <w:rsid w:val="000A21B8"/>
    <w:rsid w:val="000A36CA"/>
    <w:rsid w:val="000A39C9"/>
    <w:rsid w:val="000A3CB8"/>
    <w:rsid w:val="000A3E19"/>
    <w:rsid w:val="000A43E5"/>
    <w:rsid w:val="000A441D"/>
    <w:rsid w:val="000A4550"/>
    <w:rsid w:val="000A4733"/>
    <w:rsid w:val="000A48E2"/>
    <w:rsid w:val="000A495F"/>
    <w:rsid w:val="000A4A82"/>
    <w:rsid w:val="000A4C94"/>
    <w:rsid w:val="000A4F85"/>
    <w:rsid w:val="000A5390"/>
    <w:rsid w:val="000A6022"/>
    <w:rsid w:val="000A6110"/>
    <w:rsid w:val="000A6181"/>
    <w:rsid w:val="000A664A"/>
    <w:rsid w:val="000A682E"/>
    <w:rsid w:val="000A7344"/>
    <w:rsid w:val="000B0804"/>
    <w:rsid w:val="000B0B4F"/>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9D7"/>
    <w:rsid w:val="000B5AF4"/>
    <w:rsid w:val="000B5BFB"/>
    <w:rsid w:val="000B5E79"/>
    <w:rsid w:val="000B5EA9"/>
    <w:rsid w:val="000B6097"/>
    <w:rsid w:val="000B6103"/>
    <w:rsid w:val="000B6125"/>
    <w:rsid w:val="000B62FB"/>
    <w:rsid w:val="000B648E"/>
    <w:rsid w:val="000B6E36"/>
    <w:rsid w:val="000B6F8F"/>
    <w:rsid w:val="000B76CD"/>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6F92"/>
    <w:rsid w:val="000C7149"/>
    <w:rsid w:val="000C77C4"/>
    <w:rsid w:val="000C7AE1"/>
    <w:rsid w:val="000C7DA9"/>
    <w:rsid w:val="000D014C"/>
    <w:rsid w:val="000D085E"/>
    <w:rsid w:val="000D1989"/>
    <w:rsid w:val="000D1AE2"/>
    <w:rsid w:val="000D1DC0"/>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B99"/>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847"/>
    <w:rsid w:val="00107B24"/>
    <w:rsid w:val="00107BDF"/>
    <w:rsid w:val="0011007B"/>
    <w:rsid w:val="00110516"/>
    <w:rsid w:val="00110C2A"/>
    <w:rsid w:val="00110D35"/>
    <w:rsid w:val="001116AB"/>
    <w:rsid w:val="00111725"/>
    <w:rsid w:val="00111BA9"/>
    <w:rsid w:val="00112306"/>
    <w:rsid w:val="00112938"/>
    <w:rsid w:val="00112E55"/>
    <w:rsid w:val="001134D3"/>
    <w:rsid w:val="001135C5"/>
    <w:rsid w:val="00113A33"/>
    <w:rsid w:val="00113BAE"/>
    <w:rsid w:val="00113C05"/>
    <w:rsid w:val="00114267"/>
    <w:rsid w:val="00114396"/>
    <w:rsid w:val="001148A8"/>
    <w:rsid w:val="00115D1F"/>
    <w:rsid w:val="00115D3A"/>
    <w:rsid w:val="00116ABF"/>
    <w:rsid w:val="00117122"/>
    <w:rsid w:val="00117D0A"/>
    <w:rsid w:val="00117F02"/>
    <w:rsid w:val="001201DD"/>
    <w:rsid w:val="0012022A"/>
    <w:rsid w:val="00120BB3"/>
    <w:rsid w:val="001211B1"/>
    <w:rsid w:val="00121285"/>
    <w:rsid w:val="00121A7F"/>
    <w:rsid w:val="00121B48"/>
    <w:rsid w:val="00122010"/>
    <w:rsid w:val="001224F3"/>
    <w:rsid w:val="001228D0"/>
    <w:rsid w:val="001229A7"/>
    <w:rsid w:val="00122BDB"/>
    <w:rsid w:val="00122CFB"/>
    <w:rsid w:val="00122D5B"/>
    <w:rsid w:val="00123915"/>
    <w:rsid w:val="00123957"/>
    <w:rsid w:val="00123C22"/>
    <w:rsid w:val="00124D94"/>
    <w:rsid w:val="00125003"/>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177"/>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9F3"/>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4D9"/>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781"/>
    <w:rsid w:val="0017390B"/>
    <w:rsid w:val="00173E61"/>
    <w:rsid w:val="0017454F"/>
    <w:rsid w:val="001745A9"/>
    <w:rsid w:val="00174BBF"/>
    <w:rsid w:val="00174CC1"/>
    <w:rsid w:val="00176690"/>
    <w:rsid w:val="00176B3F"/>
    <w:rsid w:val="00177376"/>
    <w:rsid w:val="00177730"/>
    <w:rsid w:val="00177A9A"/>
    <w:rsid w:val="00177B02"/>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230"/>
    <w:rsid w:val="0019044C"/>
    <w:rsid w:val="001905F1"/>
    <w:rsid w:val="00190A4B"/>
    <w:rsid w:val="00190AF5"/>
    <w:rsid w:val="00190BB2"/>
    <w:rsid w:val="00190DC1"/>
    <w:rsid w:val="001913B0"/>
    <w:rsid w:val="001913D8"/>
    <w:rsid w:val="0019140C"/>
    <w:rsid w:val="0019265A"/>
    <w:rsid w:val="00192664"/>
    <w:rsid w:val="00192CE7"/>
    <w:rsid w:val="001930CA"/>
    <w:rsid w:val="00193149"/>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57F"/>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479"/>
    <w:rsid w:val="001B696E"/>
    <w:rsid w:val="001B6ABA"/>
    <w:rsid w:val="001B6B7E"/>
    <w:rsid w:val="001B74FD"/>
    <w:rsid w:val="001B7774"/>
    <w:rsid w:val="001B7D94"/>
    <w:rsid w:val="001C02EC"/>
    <w:rsid w:val="001C03F1"/>
    <w:rsid w:val="001C0414"/>
    <w:rsid w:val="001C0E7C"/>
    <w:rsid w:val="001C1503"/>
    <w:rsid w:val="001C16E2"/>
    <w:rsid w:val="001C16F8"/>
    <w:rsid w:val="001C1CEE"/>
    <w:rsid w:val="001C1D96"/>
    <w:rsid w:val="001C2538"/>
    <w:rsid w:val="001C2545"/>
    <w:rsid w:val="001C2A2D"/>
    <w:rsid w:val="001C3236"/>
    <w:rsid w:val="001C3D9F"/>
    <w:rsid w:val="001C4160"/>
    <w:rsid w:val="001C4542"/>
    <w:rsid w:val="001C4544"/>
    <w:rsid w:val="001C4F49"/>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44F"/>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0F10"/>
    <w:rsid w:val="001E10D0"/>
    <w:rsid w:val="001E12DA"/>
    <w:rsid w:val="001E16E9"/>
    <w:rsid w:val="001E1761"/>
    <w:rsid w:val="001E20F0"/>
    <w:rsid w:val="001E2533"/>
    <w:rsid w:val="001E255F"/>
    <w:rsid w:val="001E33C8"/>
    <w:rsid w:val="001E3555"/>
    <w:rsid w:val="001E3E21"/>
    <w:rsid w:val="001E4458"/>
    <w:rsid w:val="001E44F2"/>
    <w:rsid w:val="001E47E7"/>
    <w:rsid w:val="001E4AA4"/>
    <w:rsid w:val="001E5261"/>
    <w:rsid w:val="001E5AA8"/>
    <w:rsid w:val="001E5B82"/>
    <w:rsid w:val="001E5E47"/>
    <w:rsid w:val="001E6043"/>
    <w:rsid w:val="001E66CF"/>
    <w:rsid w:val="001E6928"/>
    <w:rsid w:val="001E6A9A"/>
    <w:rsid w:val="001E6BB0"/>
    <w:rsid w:val="001E7691"/>
    <w:rsid w:val="001E7A6B"/>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1FD6"/>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1FE"/>
    <w:rsid w:val="00225690"/>
    <w:rsid w:val="002256D4"/>
    <w:rsid w:val="00225A15"/>
    <w:rsid w:val="002260AB"/>
    <w:rsid w:val="00226137"/>
    <w:rsid w:val="002266D1"/>
    <w:rsid w:val="00226FFF"/>
    <w:rsid w:val="002270B7"/>
    <w:rsid w:val="0022731B"/>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333"/>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57D"/>
    <w:rsid w:val="0028064F"/>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86B"/>
    <w:rsid w:val="00292BFE"/>
    <w:rsid w:val="00292E79"/>
    <w:rsid w:val="00293111"/>
    <w:rsid w:val="00293138"/>
    <w:rsid w:val="0029319A"/>
    <w:rsid w:val="0029359B"/>
    <w:rsid w:val="00294382"/>
    <w:rsid w:val="002943CF"/>
    <w:rsid w:val="0029458E"/>
    <w:rsid w:val="00294604"/>
    <w:rsid w:val="00294797"/>
    <w:rsid w:val="00294ADC"/>
    <w:rsid w:val="00294D6D"/>
    <w:rsid w:val="002955E1"/>
    <w:rsid w:val="00295624"/>
    <w:rsid w:val="00295898"/>
    <w:rsid w:val="00295D2F"/>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615"/>
    <w:rsid w:val="002B67C5"/>
    <w:rsid w:val="002B6D9D"/>
    <w:rsid w:val="002B7083"/>
    <w:rsid w:val="002B78F7"/>
    <w:rsid w:val="002C05A0"/>
    <w:rsid w:val="002C08A2"/>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1DF"/>
    <w:rsid w:val="002E220D"/>
    <w:rsid w:val="002E244F"/>
    <w:rsid w:val="002E2665"/>
    <w:rsid w:val="002E2B12"/>
    <w:rsid w:val="002E2B5C"/>
    <w:rsid w:val="002E2FC0"/>
    <w:rsid w:val="002E3296"/>
    <w:rsid w:val="002E3AE2"/>
    <w:rsid w:val="002E3F11"/>
    <w:rsid w:val="002E421E"/>
    <w:rsid w:val="002E47B6"/>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B27"/>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5F47"/>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4D83"/>
    <w:rsid w:val="00314D9D"/>
    <w:rsid w:val="003150C6"/>
    <w:rsid w:val="00315A36"/>
    <w:rsid w:val="00315A5A"/>
    <w:rsid w:val="00315DD7"/>
    <w:rsid w:val="003163F6"/>
    <w:rsid w:val="003164B2"/>
    <w:rsid w:val="00316589"/>
    <w:rsid w:val="00316B58"/>
    <w:rsid w:val="00316E84"/>
    <w:rsid w:val="003175FB"/>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556"/>
    <w:rsid w:val="00345DC1"/>
    <w:rsid w:val="00345EF4"/>
    <w:rsid w:val="00345EFB"/>
    <w:rsid w:val="003460EA"/>
    <w:rsid w:val="00346784"/>
    <w:rsid w:val="00346B4F"/>
    <w:rsid w:val="0034730D"/>
    <w:rsid w:val="003476DA"/>
    <w:rsid w:val="00350674"/>
    <w:rsid w:val="00350783"/>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277"/>
    <w:rsid w:val="003802C0"/>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935"/>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4DCF"/>
    <w:rsid w:val="003A504A"/>
    <w:rsid w:val="003A5756"/>
    <w:rsid w:val="003A57D4"/>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375"/>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978"/>
    <w:rsid w:val="003E7A87"/>
    <w:rsid w:val="003E7BFA"/>
    <w:rsid w:val="003E7F41"/>
    <w:rsid w:val="003F0320"/>
    <w:rsid w:val="003F14A7"/>
    <w:rsid w:val="003F20D5"/>
    <w:rsid w:val="003F23DA"/>
    <w:rsid w:val="003F2EA3"/>
    <w:rsid w:val="003F33F9"/>
    <w:rsid w:val="003F3653"/>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761"/>
    <w:rsid w:val="00402AE5"/>
    <w:rsid w:val="00402BB8"/>
    <w:rsid w:val="00402E59"/>
    <w:rsid w:val="00403032"/>
    <w:rsid w:val="004037A2"/>
    <w:rsid w:val="00403924"/>
    <w:rsid w:val="00403E88"/>
    <w:rsid w:val="00403EED"/>
    <w:rsid w:val="00403F43"/>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89D"/>
    <w:rsid w:val="00415D66"/>
    <w:rsid w:val="00415D69"/>
    <w:rsid w:val="00415E04"/>
    <w:rsid w:val="00415F2B"/>
    <w:rsid w:val="0041676E"/>
    <w:rsid w:val="00416859"/>
    <w:rsid w:val="00417065"/>
    <w:rsid w:val="0041771E"/>
    <w:rsid w:val="004179C1"/>
    <w:rsid w:val="00417C6E"/>
    <w:rsid w:val="004200DC"/>
    <w:rsid w:val="00420293"/>
    <w:rsid w:val="00420299"/>
    <w:rsid w:val="00420410"/>
    <w:rsid w:val="00420617"/>
    <w:rsid w:val="00420629"/>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3FD"/>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2B9"/>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3EE"/>
    <w:rsid w:val="004704D4"/>
    <w:rsid w:val="004710CF"/>
    <w:rsid w:val="00471125"/>
    <w:rsid w:val="00471836"/>
    <w:rsid w:val="00471949"/>
    <w:rsid w:val="00471B16"/>
    <w:rsid w:val="00471E9C"/>
    <w:rsid w:val="00471FA7"/>
    <w:rsid w:val="004722DC"/>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219"/>
    <w:rsid w:val="0048125E"/>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433"/>
    <w:rsid w:val="004B7E01"/>
    <w:rsid w:val="004C04D5"/>
    <w:rsid w:val="004C0CC9"/>
    <w:rsid w:val="004C17E0"/>
    <w:rsid w:val="004C1F0F"/>
    <w:rsid w:val="004C2636"/>
    <w:rsid w:val="004C2918"/>
    <w:rsid w:val="004C2CB9"/>
    <w:rsid w:val="004C33AD"/>
    <w:rsid w:val="004C3C31"/>
    <w:rsid w:val="004C4243"/>
    <w:rsid w:val="004C44F7"/>
    <w:rsid w:val="004C50D3"/>
    <w:rsid w:val="004C5230"/>
    <w:rsid w:val="004C5449"/>
    <w:rsid w:val="004C65B8"/>
    <w:rsid w:val="004C6A20"/>
    <w:rsid w:val="004C781E"/>
    <w:rsid w:val="004C7D1D"/>
    <w:rsid w:val="004D0706"/>
    <w:rsid w:val="004D0BC5"/>
    <w:rsid w:val="004D0CC6"/>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1DE"/>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3A49"/>
    <w:rsid w:val="004F40AB"/>
    <w:rsid w:val="004F4CF5"/>
    <w:rsid w:val="004F513A"/>
    <w:rsid w:val="004F5457"/>
    <w:rsid w:val="004F563F"/>
    <w:rsid w:val="004F5698"/>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6CC2"/>
    <w:rsid w:val="0050753C"/>
    <w:rsid w:val="005079F4"/>
    <w:rsid w:val="00507A19"/>
    <w:rsid w:val="005101FA"/>
    <w:rsid w:val="0051028B"/>
    <w:rsid w:val="00510730"/>
    <w:rsid w:val="00510B28"/>
    <w:rsid w:val="00510B99"/>
    <w:rsid w:val="00511516"/>
    <w:rsid w:val="00511969"/>
    <w:rsid w:val="00511BAB"/>
    <w:rsid w:val="00511DBB"/>
    <w:rsid w:val="005121D0"/>
    <w:rsid w:val="00512FF8"/>
    <w:rsid w:val="00513A9A"/>
    <w:rsid w:val="00513E1D"/>
    <w:rsid w:val="005141AF"/>
    <w:rsid w:val="005144E5"/>
    <w:rsid w:val="0051451D"/>
    <w:rsid w:val="00515217"/>
    <w:rsid w:val="00515419"/>
    <w:rsid w:val="005156A6"/>
    <w:rsid w:val="00515CE0"/>
    <w:rsid w:val="005160C5"/>
    <w:rsid w:val="00516127"/>
    <w:rsid w:val="0051647C"/>
    <w:rsid w:val="005165FE"/>
    <w:rsid w:val="00516B09"/>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30B"/>
    <w:rsid w:val="00522610"/>
    <w:rsid w:val="00522913"/>
    <w:rsid w:val="00522ECA"/>
    <w:rsid w:val="00522FFF"/>
    <w:rsid w:val="0052336F"/>
    <w:rsid w:val="00523948"/>
    <w:rsid w:val="0052423D"/>
    <w:rsid w:val="005246EE"/>
    <w:rsid w:val="0052533F"/>
    <w:rsid w:val="00525773"/>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8E9"/>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616"/>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8F5"/>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5BF7"/>
    <w:rsid w:val="00596944"/>
    <w:rsid w:val="00596BF6"/>
    <w:rsid w:val="005979CD"/>
    <w:rsid w:val="00597BF5"/>
    <w:rsid w:val="005A022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78"/>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9CD"/>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4F78"/>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308"/>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9C2"/>
    <w:rsid w:val="005F0AAE"/>
    <w:rsid w:val="005F0BEC"/>
    <w:rsid w:val="005F0BF6"/>
    <w:rsid w:val="005F1850"/>
    <w:rsid w:val="005F1A32"/>
    <w:rsid w:val="005F21EA"/>
    <w:rsid w:val="005F2484"/>
    <w:rsid w:val="005F24D4"/>
    <w:rsid w:val="005F25F8"/>
    <w:rsid w:val="005F27B6"/>
    <w:rsid w:val="005F2A90"/>
    <w:rsid w:val="005F2AB7"/>
    <w:rsid w:val="005F2ADF"/>
    <w:rsid w:val="005F2D64"/>
    <w:rsid w:val="005F2D88"/>
    <w:rsid w:val="005F2EF6"/>
    <w:rsid w:val="005F38AD"/>
    <w:rsid w:val="005F39CD"/>
    <w:rsid w:val="005F4162"/>
    <w:rsid w:val="005F5317"/>
    <w:rsid w:val="005F5744"/>
    <w:rsid w:val="005F5846"/>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1E8D"/>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33"/>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47F14"/>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073"/>
    <w:rsid w:val="006561E8"/>
    <w:rsid w:val="006565B5"/>
    <w:rsid w:val="00656786"/>
    <w:rsid w:val="00656BE7"/>
    <w:rsid w:val="006578E0"/>
    <w:rsid w:val="00657BE4"/>
    <w:rsid w:val="00657DCF"/>
    <w:rsid w:val="00660597"/>
    <w:rsid w:val="0066077F"/>
    <w:rsid w:val="006614A2"/>
    <w:rsid w:val="0066168E"/>
    <w:rsid w:val="0066193B"/>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5C1"/>
    <w:rsid w:val="00674C84"/>
    <w:rsid w:val="006756FE"/>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87C7B"/>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274"/>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A89"/>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C6C"/>
    <w:rsid w:val="006F6F53"/>
    <w:rsid w:val="006F7538"/>
    <w:rsid w:val="006F78D1"/>
    <w:rsid w:val="006F7B28"/>
    <w:rsid w:val="00700062"/>
    <w:rsid w:val="0070011B"/>
    <w:rsid w:val="0070033F"/>
    <w:rsid w:val="00700D8E"/>
    <w:rsid w:val="007010A4"/>
    <w:rsid w:val="007011BD"/>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83A"/>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6708"/>
    <w:rsid w:val="0071755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1DA"/>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895"/>
    <w:rsid w:val="00760CEC"/>
    <w:rsid w:val="007625F2"/>
    <w:rsid w:val="00762C31"/>
    <w:rsid w:val="0076300E"/>
    <w:rsid w:val="007634D0"/>
    <w:rsid w:val="00763CF4"/>
    <w:rsid w:val="007640A2"/>
    <w:rsid w:val="0076423E"/>
    <w:rsid w:val="00764A60"/>
    <w:rsid w:val="00764E02"/>
    <w:rsid w:val="00764E9D"/>
    <w:rsid w:val="007651FC"/>
    <w:rsid w:val="00765272"/>
    <w:rsid w:val="007653CF"/>
    <w:rsid w:val="007654B6"/>
    <w:rsid w:val="00765676"/>
    <w:rsid w:val="0076579E"/>
    <w:rsid w:val="007657EE"/>
    <w:rsid w:val="00765AC8"/>
    <w:rsid w:val="00765C1A"/>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425"/>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7AF"/>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5F76"/>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A30"/>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B91"/>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1BD"/>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76D"/>
    <w:rsid w:val="007E7857"/>
    <w:rsid w:val="007E78F3"/>
    <w:rsid w:val="007E7F4D"/>
    <w:rsid w:val="007F0B68"/>
    <w:rsid w:val="007F12EF"/>
    <w:rsid w:val="007F1E29"/>
    <w:rsid w:val="007F2263"/>
    <w:rsid w:val="007F261A"/>
    <w:rsid w:val="007F27A5"/>
    <w:rsid w:val="007F2DE8"/>
    <w:rsid w:val="007F2F75"/>
    <w:rsid w:val="007F3425"/>
    <w:rsid w:val="007F3628"/>
    <w:rsid w:val="007F37A3"/>
    <w:rsid w:val="007F37BD"/>
    <w:rsid w:val="007F39A0"/>
    <w:rsid w:val="007F4114"/>
    <w:rsid w:val="007F455C"/>
    <w:rsid w:val="007F5172"/>
    <w:rsid w:val="007F5929"/>
    <w:rsid w:val="007F605A"/>
    <w:rsid w:val="007F6270"/>
    <w:rsid w:val="007F7366"/>
    <w:rsid w:val="007F73B2"/>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59DC"/>
    <w:rsid w:val="00805DEA"/>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56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C8"/>
    <w:rsid w:val="00823BFC"/>
    <w:rsid w:val="00824AE0"/>
    <w:rsid w:val="00825813"/>
    <w:rsid w:val="0082583E"/>
    <w:rsid w:val="00825B51"/>
    <w:rsid w:val="00825C4E"/>
    <w:rsid w:val="00825D16"/>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A8F"/>
    <w:rsid w:val="00837D0D"/>
    <w:rsid w:val="00840889"/>
    <w:rsid w:val="00840B73"/>
    <w:rsid w:val="00841E68"/>
    <w:rsid w:val="00842192"/>
    <w:rsid w:val="00842316"/>
    <w:rsid w:val="00843089"/>
    <w:rsid w:val="008431DB"/>
    <w:rsid w:val="0084339F"/>
    <w:rsid w:val="00843966"/>
    <w:rsid w:val="0084410B"/>
    <w:rsid w:val="008442A3"/>
    <w:rsid w:val="008446DE"/>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A89"/>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2B5D"/>
    <w:rsid w:val="00863473"/>
    <w:rsid w:val="0086358F"/>
    <w:rsid w:val="008639D0"/>
    <w:rsid w:val="00863AFD"/>
    <w:rsid w:val="00864636"/>
    <w:rsid w:val="00864BF7"/>
    <w:rsid w:val="00865EB4"/>
    <w:rsid w:val="008660E6"/>
    <w:rsid w:val="008667DD"/>
    <w:rsid w:val="008667F2"/>
    <w:rsid w:val="00866B65"/>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87E73"/>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2E09"/>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0FDB"/>
    <w:rsid w:val="008A1509"/>
    <w:rsid w:val="008A16D7"/>
    <w:rsid w:val="008A189D"/>
    <w:rsid w:val="008A191A"/>
    <w:rsid w:val="008A200C"/>
    <w:rsid w:val="008A343E"/>
    <w:rsid w:val="008A3536"/>
    <w:rsid w:val="008A371A"/>
    <w:rsid w:val="008A371C"/>
    <w:rsid w:val="008A3ED0"/>
    <w:rsid w:val="008A4622"/>
    <w:rsid w:val="008A480B"/>
    <w:rsid w:val="008A48A5"/>
    <w:rsid w:val="008A4F2F"/>
    <w:rsid w:val="008A54FB"/>
    <w:rsid w:val="008A5782"/>
    <w:rsid w:val="008A5923"/>
    <w:rsid w:val="008A5AD9"/>
    <w:rsid w:val="008A5D90"/>
    <w:rsid w:val="008A68FB"/>
    <w:rsid w:val="008A6E0C"/>
    <w:rsid w:val="008A780E"/>
    <w:rsid w:val="008A7B69"/>
    <w:rsid w:val="008B1399"/>
    <w:rsid w:val="008B147A"/>
    <w:rsid w:val="008B22D8"/>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6B9"/>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A87"/>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011"/>
    <w:rsid w:val="009021E7"/>
    <w:rsid w:val="009023DC"/>
    <w:rsid w:val="009029D4"/>
    <w:rsid w:val="009029EA"/>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75B"/>
    <w:rsid w:val="00943B4D"/>
    <w:rsid w:val="00943DB6"/>
    <w:rsid w:val="0094412E"/>
    <w:rsid w:val="009442BE"/>
    <w:rsid w:val="00944A5D"/>
    <w:rsid w:val="00944E9E"/>
    <w:rsid w:val="0094534D"/>
    <w:rsid w:val="0094570E"/>
    <w:rsid w:val="009457A5"/>
    <w:rsid w:val="00945947"/>
    <w:rsid w:val="0094613A"/>
    <w:rsid w:val="00946519"/>
    <w:rsid w:val="00946609"/>
    <w:rsid w:val="00946B73"/>
    <w:rsid w:val="00946EF6"/>
    <w:rsid w:val="009470DF"/>
    <w:rsid w:val="00947F5B"/>
    <w:rsid w:val="009500F4"/>
    <w:rsid w:val="0095055D"/>
    <w:rsid w:val="009505AA"/>
    <w:rsid w:val="00950AB6"/>
    <w:rsid w:val="00950AB8"/>
    <w:rsid w:val="00950FA4"/>
    <w:rsid w:val="00951365"/>
    <w:rsid w:val="0095146B"/>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4AC"/>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159"/>
    <w:rsid w:val="009864CB"/>
    <w:rsid w:val="00986C4C"/>
    <w:rsid w:val="00986C76"/>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16D"/>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D66"/>
    <w:rsid w:val="009B0FFA"/>
    <w:rsid w:val="009B1670"/>
    <w:rsid w:val="009B18BB"/>
    <w:rsid w:val="009B194E"/>
    <w:rsid w:val="009B1A09"/>
    <w:rsid w:val="009B1C66"/>
    <w:rsid w:val="009B1D92"/>
    <w:rsid w:val="009B2548"/>
    <w:rsid w:val="009B2CFF"/>
    <w:rsid w:val="009B2D1A"/>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220"/>
    <w:rsid w:val="009D2673"/>
    <w:rsid w:val="009D2C8C"/>
    <w:rsid w:val="009D2D15"/>
    <w:rsid w:val="009D2DE9"/>
    <w:rsid w:val="009D31FA"/>
    <w:rsid w:val="009D35C3"/>
    <w:rsid w:val="009D3A53"/>
    <w:rsid w:val="009D3CDF"/>
    <w:rsid w:val="009D3D3E"/>
    <w:rsid w:val="009D438D"/>
    <w:rsid w:val="009D43D4"/>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8DA"/>
    <w:rsid w:val="009E2E4B"/>
    <w:rsid w:val="009E2EA9"/>
    <w:rsid w:val="009E3013"/>
    <w:rsid w:val="009E338E"/>
    <w:rsid w:val="009E3C6D"/>
    <w:rsid w:val="009E3DC3"/>
    <w:rsid w:val="009E3FF7"/>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742"/>
    <w:rsid w:val="00A00FCE"/>
    <w:rsid w:val="00A01B1E"/>
    <w:rsid w:val="00A02556"/>
    <w:rsid w:val="00A031AD"/>
    <w:rsid w:val="00A034BD"/>
    <w:rsid w:val="00A03930"/>
    <w:rsid w:val="00A0421C"/>
    <w:rsid w:val="00A04344"/>
    <w:rsid w:val="00A04561"/>
    <w:rsid w:val="00A04D86"/>
    <w:rsid w:val="00A05151"/>
    <w:rsid w:val="00A05764"/>
    <w:rsid w:val="00A05831"/>
    <w:rsid w:val="00A058DB"/>
    <w:rsid w:val="00A05A66"/>
    <w:rsid w:val="00A07010"/>
    <w:rsid w:val="00A07564"/>
    <w:rsid w:val="00A07924"/>
    <w:rsid w:val="00A10118"/>
    <w:rsid w:val="00A1017B"/>
    <w:rsid w:val="00A1086A"/>
    <w:rsid w:val="00A11085"/>
    <w:rsid w:val="00A116A6"/>
    <w:rsid w:val="00A11BF2"/>
    <w:rsid w:val="00A12D35"/>
    <w:rsid w:val="00A13022"/>
    <w:rsid w:val="00A13396"/>
    <w:rsid w:val="00A13CF0"/>
    <w:rsid w:val="00A14260"/>
    <w:rsid w:val="00A144E0"/>
    <w:rsid w:val="00A14649"/>
    <w:rsid w:val="00A146AD"/>
    <w:rsid w:val="00A1477D"/>
    <w:rsid w:val="00A14854"/>
    <w:rsid w:val="00A14AB1"/>
    <w:rsid w:val="00A14AC2"/>
    <w:rsid w:val="00A14DD9"/>
    <w:rsid w:val="00A15165"/>
    <w:rsid w:val="00A151C3"/>
    <w:rsid w:val="00A1553B"/>
    <w:rsid w:val="00A156EB"/>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582"/>
    <w:rsid w:val="00A22BDB"/>
    <w:rsid w:val="00A22D60"/>
    <w:rsid w:val="00A237AF"/>
    <w:rsid w:val="00A238C5"/>
    <w:rsid w:val="00A23914"/>
    <w:rsid w:val="00A23B73"/>
    <w:rsid w:val="00A23CF3"/>
    <w:rsid w:val="00A23D43"/>
    <w:rsid w:val="00A23D65"/>
    <w:rsid w:val="00A23FCE"/>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188"/>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1FFB"/>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5F0"/>
    <w:rsid w:val="00A7260D"/>
    <w:rsid w:val="00A72E55"/>
    <w:rsid w:val="00A731E1"/>
    <w:rsid w:val="00A737FC"/>
    <w:rsid w:val="00A744CC"/>
    <w:rsid w:val="00A74CD8"/>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7C5"/>
    <w:rsid w:val="00A80BEB"/>
    <w:rsid w:val="00A81722"/>
    <w:rsid w:val="00A81F18"/>
    <w:rsid w:val="00A8232D"/>
    <w:rsid w:val="00A8285E"/>
    <w:rsid w:val="00A833BD"/>
    <w:rsid w:val="00A838B4"/>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2FE4"/>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20B"/>
    <w:rsid w:val="00AB2487"/>
    <w:rsid w:val="00AB25B3"/>
    <w:rsid w:val="00AB2C9B"/>
    <w:rsid w:val="00AB2D24"/>
    <w:rsid w:val="00AB2D5A"/>
    <w:rsid w:val="00AB388D"/>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245"/>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287F"/>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87A"/>
    <w:rsid w:val="00AF0C00"/>
    <w:rsid w:val="00AF0D02"/>
    <w:rsid w:val="00AF0E3C"/>
    <w:rsid w:val="00AF1C5F"/>
    <w:rsid w:val="00AF2BE8"/>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3D2"/>
    <w:rsid w:val="00B0590C"/>
    <w:rsid w:val="00B0601F"/>
    <w:rsid w:val="00B0650F"/>
    <w:rsid w:val="00B067CB"/>
    <w:rsid w:val="00B06BC5"/>
    <w:rsid w:val="00B06C04"/>
    <w:rsid w:val="00B07073"/>
    <w:rsid w:val="00B10BB0"/>
    <w:rsid w:val="00B10D89"/>
    <w:rsid w:val="00B1122D"/>
    <w:rsid w:val="00B1170F"/>
    <w:rsid w:val="00B11921"/>
    <w:rsid w:val="00B12939"/>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249"/>
    <w:rsid w:val="00B20372"/>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2B85"/>
    <w:rsid w:val="00B332E5"/>
    <w:rsid w:val="00B335F3"/>
    <w:rsid w:val="00B33FC6"/>
    <w:rsid w:val="00B33FE7"/>
    <w:rsid w:val="00B344F1"/>
    <w:rsid w:val="00B3457F"/>
    <w:rsid w:val="00B34C16"/>
    <w:rsid w:val="00B34D71"/>
    <w:rsid w:val="00B351E3"/>
    <w:rsid w:val="00B35542"/>
    <w:rsid w:val="00B3659E"/>
    <w:rsid w:val="00B36738"/>
    <w:rsid w:val="00B375F2"/>
    <w:rsid w:val="00B37C48"/>
    <w:rsid w:val="00B37E32"/>
    <w:rsid w:val="00B40941"/>
    <w:rsid w:val="00B4154A"/>
    <w:rsid w:val="00B4154B"/>
    <w:rsid w:val="00B41DDF"/>
    <w:rsid w:val="00B425E6"/>
    <w:rsid w:val="00B42C91"/>
    <w:rsid w:val="00B43161"/>
    <w:rsid w:val="00B4359A"/>
    <w:rsid w:val="00B440AD"/>
    <w:rsid w:val="00B441D6"/>
    <w:rsid w:val="00B44265"/>
    <w:rsid w:val="00B45DB9"/>
    <w:rsid w:val="00B45F30"/>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5D15"/>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691D"/>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B7"/>
    <w:rsid w:val="00B73F16"/>
    <w:rsid w:val="00B744A0"/>
    <w:rsid w:val="00B747AC"/>
    <w:rsid w:val="00B74A28"/>
    <w:rsid w:val="00B74DA8"/>
    <w:rsid w:val="00B75808"/>
    <w:rsid w:val="00B75AD9"/>
    <w:rsid w:val="00B75CBA"/>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45E"/>
    <w:rsid w:val="00BA4CCA"/>
    <w:rsid w:val="00BA4FEE"/>
    <w:rsid w:val="00BA578A"/>
    <w:rsid w:val="00BA5B97"/>
    <w:rsid w:val="00BA62D6"/>
    <w:rsid w:val="00BA6468"/>
    <w:rsid w:val="00BA6CA3"/>
    <w:rsid w:val="00BA6EA3"/>
    <w:rsid w:val="00BA756F"/>
    <w:rsid w:val="00BA7E93"/>
    <w:rsid w:val="00BB05C0"/>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4B50"/>
    <w:rsid w:val="00BB51B9"/>
    <w:rsid w:val="00BB5249"/>
    <w:rsid w:val="00BB52F5"/>
    <w:rsid w:val="00BB53D4"/>
    <w:rsid w:val="00BB580D"/>
    <w:rsid w:val="00BB65AA"/>
    <w:rsid w:val="00BB67C7"/>
    <w:rsid w:val="00BB6817"/>
    <w:rsid w:val="00BB6EA0"/>
    <w:rsid w:val="00BB7573"/>
    <w:rsid w:val="00BB75A7"/>
    <w:rsid w:val="00BB7956"/>
    <w:rsid w:val="00BB7E9E"/>
    <w:rsid w:val="00BC0056"/>
    <w:rsid w:val="00BC00A5"/>
    <w:rsid w:val="00BC0449"/>
    <w:rsid w:val="00BC052C"/>
    <w:rsid w:val="00BC0559"/>
    <w:rsid w:val="00BC0C44"/>
    <w:rsid w:val="00BC1797"/>
    <w:rsid w:val="00BC198D"/>
    <w:rsid w:val="00BC1B48"/>
    <w:rsid w:val="00BC1EB3"/>
    <w:rsid w:val="00BC20C8"/>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08A"/>
    <w:rsid w:val="00BD2C19"/>
    <w:rsid w:val="00BD2C33"/>
    <w:rsid w:val="00BD2CBA"/>
    <w:rsid w:val="00BD2F56"/>
    <w:rsid w:val="00BD35B1"/>
    <w:rsid w:val="00BD35E0"/>
    <w:rsid w:val="00BD3842"/>
    <w:rsid w:val="00BD3915"/>
    <w:rsid w:val="00BD41E4"/>
    <w:rsid w:val="00BD4883"/>
    <w:rsid w:val="00BD48B7"/>
    <w:rsid w:val="00BD4A95"/>
    <w:rsid w:val="00BD4DE0"/>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116"/>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BF7A9E"/>
    <w:rsid w:val="00C0049F"/>
    <w:rsid w:val="00C00589"/>
    <w:rsid w:val="00C00913"/>
    <w:rsid w:val="00C00E40"/>
    <w:rsid w:val="00C00FB1"/>
    <w:rsid w:val="00C02116"/>
    <w:rsid w:val="00C02B76"/>
    <w:rsid w:val="00C02E48"/>
    <w:rsid w:val="00C03BB8"/>
    <w:rsid w:val="00C03BF3"/>
    <w:rsid w:val="00C0401B"/>
    <w:rsid w:val="00C042B1"/>
    <w:rsid w:val="00C044D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0DC"/>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86D"/>
    <w:rsid w:val="00C65925"/>
    <w:rsid w:val="00C66238"/>
    <w:rsid w:val="00C665C4"/>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28D"/>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D19"/>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00"/>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B2F"/>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1ED9"/>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8DB"/>
    <w:rsid w:val="00CD1EA5"/>
    <w:rsid w:val="00CD2360"/>
    <w:rsid w:val="00CD299D"/>
    <w:rsid w:val="00CD3414"/>
    <w:rsid w:val="00CD3B4E"/>
    <w:rsid w:val="00CD3BF7"/>
    <w:rsid w:val="00CD3C94"/>
    <w:rsid w:val="00CD4641"/>
    <w:rsid w:val="00CD4A18"/>
    <w:rsid w:val="00CD4DBB"/>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E7562"/>
    <w:rsid w:val="00CF06AD"/>
    <w:rsid w:val="00CF1222"/>
    <w:rsid w:val="00CF1789"/>
    <w:rsid w:val="00CF1CB8"/>
    <w:rsid w:val="00CF1D5C"/>
    <w:rsid w:val="00CF241A"/>
    <w:rsid w:val="00CF2693"/>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21A"/>
    <w:rsid w:val="00D00468"/>
    <w:rsid w:val="00D007BD"/>
    <w:rsid w:val="00D00A91"/>
    <w:rsid w:val="00D00B55"/>
    <w:rsid w:val="00D00D8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17B3"/>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4E"/>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2B"/>
    <w:rsid w:val="00D451AE"/>
    <w:rsid w:val="00D45550"/>
    <w:rsid w:val="00D455A0"/>
    <w:rsid w:val="00D4573A"/>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429"/>
    <w:rsid w:val="00D578C6"/>
    <w:rsid w:val="00D57A75"/>
    <w:rsid w:val="00D57F75"/>
    <w:rsid w:val="00D60243"/>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27"/>
    <w:rsid w:val="00D6748B"/>
    <w:rsid w:val="00D67522"/>
    <w:rsid w:val="00D675E2"/>
    <w:rsid w:val="00D676AB"/>
    <w:rsid w:val="00D70814"/>
    <w:rsid w:val="00D71099"/>
    <w:rsid w:val="00D71D6B"/>
    <w:rsid w:val="00D71E0C"/>
    <w:rsid w:val="00D720A0"/>
    <w:rsid w:val="00D726C9"/>
    <w:rsid w:val="00D72F56"/>
    <w:rsid w:val="00D7361F"/>
    <w:rsid w:val="00D738AD"/>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36F"/>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87F"/>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2F9"/>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45AD"/>
    <w:rsid w:val="00DF5518"/>
    <w:rsid w:val="00DF58FE"/>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C74"/>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8F3"/>
    <w:rsid w:val="00E179BC"/>
    <w:rsid w:val="00E20512"/>
    <w:rsid w:val="00E207C1"/>
    <w:rsid w:val="00E20DF8"/>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B82"/>
    <w:rsid w:val="00E27E4B"/>
    <w:rsid w:val="00E27EFB"/>
    <w:rsid w:val="00E30866"/>
    <w:rsid w:val="00E3090D"/>
    <w:rsid w:val="00E309CD"/>
    <w:rsid w:val="00E313C2"/>
    <w:rsid w:val="00E313F4"/>
    <w:rsid w:val="00E314AC"/>
    <w:rsid w:val="00E3260A"/>
    <w:rsid w:val="00E33225"/>
    <w:rsid w:val="00E33229"/>
    <w:rsid w:val="00E3339D"/>
    <w:rsid w:val="00E337F8"/>
    <w:rsid w:val="00E33A18"/>
    <w:rsid w:val="00E33FAF"/>
    <w:rsid w:val="00E3409B"/>
    <w:rsid w:val="00E347A0"/>
    <w:rsid w:val="00E34A06"/>
    <w:rsid w:val="00E34B35"/>
    <w:rsid w:val="00E3501B"/>
    <w:rsid w:val="00E3536A"/>
    <w:rsid w:val="00E36410"/>
    <w:rsid w:val="00E368FA"/>
    <w:rsid w:val="00E3692E"/>
    <w:rsid w:val="00E36957"/>
    <w:rsid w:val="00E36D41"/>
    <w:rsid w:val="00E36D44"/>
    <w:rsid w:val="00E37AAF"/>
    <w:rsid w:val="00E37D5E"/>
    <w:rsid w:val="00E403FD"/>
    <w:rsid w:val="00E40661"/>
    <w:rsid w:val="00E40986"/>
    <w:rsid w:val="00E40E5F"/>
    <w:rsid w:val="00E40F7C"/>
    <w:rsid w:val="00E4199B"/>
    <w:rsid w:val="00E41C47"/>
    <w:rsid w:val="00E41E35"/>
    <w:rsid w:val="00E4260E"/>
    <w:rsid w:val="00E426D5"/>
    <w:rsid w:val="00E4283F"/>
    <w:rsid w:val="00E431F2"/>
    <w:rsid w:val="00E43B48"/>
    <w:rsid w:val="00E44AD3"/>
    <w:rsid w:val="00E44C7B"/>
    <w:rsid w:val="00E45B93"/>
    <w:rsid w:val="00E45C8D"/>
    <w:rsid w:val="00E4601E"/>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AB0"/>
    <w:rsid w:val="00E53FAB"/>
    <w:rsid w:val="00E53FC6"/>
    <w:rsid w:val="00E541CF"/>
    <w:rsid w:val="00E5425A"/>
    <w:rsid w:val="00E54620"/>
    <w:rsid w:val="00E54932"/>
    <w:rsid w:val="00E5540E"/>
    <w:rsid w:val="00E55430"/>
    <w:rsid w:val="00E5550F"/>
    <w:rsid w:val="00E557B0"/>
    <w:rsid w:val="00E55975"/>
    <w:rsid w:val="00E5652C"/>
    <w:rsid w:val="00E56893"/>
    <w:rsid w:val="00E57437"/>
    <w:rsid w:val="00E57593"/>
    <w:rsid w:val="00E578E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FA4"/>
    <w:rsid w:val="00E63117"/>
    <w:rsid w:val="00E63171"/>
    <w:rsid w:val="00E63320"/>
    <w:rsid w:val="00E63B26"/>
    <w:rsid w:val="00E63D79"/>
    <w:rsid w:val="00E63DB3"/>
    <w:rsid w:val="00E63DC1"/>
    <w:rsid w:val="00E63FCA"/>
    <w:rsid w:val="00E64067"/>
    <w:rsid w:val="00E64A40"/>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D0"/>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18"/>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C9D"/>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197"/>
    <w:rsid w:val="00EA72A6"/>
    <w:rsid w:val="00EA7BC2"/>
    <w:rsid w:val="00EA7D72"/>
    <w:rsid w:val="00EB0352"/>
    <w:rsid w:val="00EB1284"/>
    <w:rsid w:val="00EB12C0"/>
    <w:rsid w:val="00EB18E3"/>
    <w:rsid w:val="00EB1CB9"/>
    <w:rsid w:val="00EB1D66"/>
    <w:rsid w:val="00EB290F"/>
    <w:rsid w:val="00EB2A69"/>
    <w:rsid w:val="00EB3248"/>
    <w:rsid w:val="00EB3F76"/>
    <w:rsid w:val="00EB403F"/>
    <w:rsid w:val="00EB415B"/>
    <w:rsid w:val="00EB49BE"/>
    <w:rsid w:val="00EB4AAF"/>
    <w:rsid w:val="00EB5E0B"/>
    <w:rsid w:val="00EB603A"/>
    <w:rsid w:val="00EB60CC"/>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1A6"/>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A5E"/>
    <w:rsid w:val="00EE3FB5"/>
    <w:rsid w:val="00EE403F"/>
    <w:rsid w:val="00EE41F5"/>
    <w:rsid w:val="00EE4376"/>
    <w:rsid w:val="00EE4478"/>
    <w:rsid w:val="00EE46AC"/>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3B5"/>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757"/>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6FE4"/>
    <w:rsid w:val="00F07261"/>
    <w:rsid w:val="00F076B4"/>
    <w:rsid w:val="00F07B50"/>
    <w:rsid w:val="00F07B92"/>
    <w:rsid w:val="00F1022B"/>
    <w:rsid w:val="00F10E86"/>
    <w:rsid w:val="00F10F51"/>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3E1"/>
    <w:rsid w:val="00F21444"/>
    <w:rsid w:val="00F21658"/>
    <w:rsid w:val="00F21A51"/>
    <w:rsid w:val="00F21CD1"/>
    <w:rsid w:val="00F21D2A"/>
    <w:rsid w:val="00F21F77"/>
    <w:rsid w:val="00F2278A"/>
    <w:rsid w:val="00F2316F"/>
    <w:rsid w:val="00F23899"/>
    <w:rsid w:val="00F24206"/>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915"/>
    <w:rsid w:val="00F41085"/>
    <w:rsid w:val="00F419A2"/>
    <w:rsid w:val="00F41D8A"/>
    <w:rsid w:val="00F42A67"/>
    <w:rsid w:val="00F42AAA"/>
    <w:rsid w:val="00F42AD8"/>
    <w:rsid w:val="00F42CE6"/>
    <w:rsid w:val="00F42F26"/>
    <w:rsid w:val="00F431F9"/>
    <w:rsid w:val="00F4330A"/>
    <w:rsid w:val="00F435E1"/>
    <w:rsid w:val="00F444BD"/>
    <w:rsid w:val="00F448DA"/>
    <w:rsid w:val="00F45A70"/>
    <w:rsid w:val="00F45AAC"/>
    <w:rsid w:val="00F46352"/>
    <w:rsid w:val="00F475E3"/>
    <w:rsid w:val="00F47A6B"/>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218"/>
    <w:rsid w:val="00F56EDE"/>
    <w:rsid w:val="00F57D19"/>
    <w:rsid w:val="00F57D45"/>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66FAC"/>
    <w:rsid w:val="00F700F1"/>
    <w:rsid w:val="00F70234"/>
    <w:rsid w:val="00F7113D"/>
    <w:rsid w:val="00F716E2"/>
    <w:rsid w:val="00F7353D"/>
    <w:rsid w:val="00F73EF4"/>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06E9"/>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4D1"/>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38A7"/>
    <w:rsid w:val="00FA40E7"/>
    <w:rsid w:val="00FA4917"/>
    <w:rsid w:val="00FA4C7D"/>
    <w:rsid w:val="00FA4FC5"/>
    <w:rsid w:val="00FA519F"/>
    <w:rsid w:val="00FA52AF"/>
    <w:rsid w:val="00FA5F87"/>
    <w:rsid w:val="00FA61AF"/>
    <w:rsid w:val="00FA6360"/>
    <w:rsid w:val="00FA675C"/>
    <w:rsid w:val="00FA6D62"/>
    <w:rsid w:val="00FA6EFA"/>
    <w:rsid w:val="00FA6F9B"/>
    <w:rsid w:val="00FA73A6"/>
    <w:rsid w:val="00FA766C"/>
    <w:rsid w:val="00FA76E5"/>
    <w:rsid w:val="00FA7706"/>
    <w:rsid w:val="00FA79E0"/>
    <w:rsid w:val="00FA7EEE"/>
    <w:rsid w:val="00FB0888"/>
    <w:rsid w:val="00FB08E4"/>
    <w:rsid w:val="00FB0CDB"/>
    <w:rsid w:val="00FB1304"/>
    <w:rsid w:val="00FB1BD7"/>
    <w:rsid w:val="00FB1C87"/>
    <w:rsid w:val="00FB20CC"/>
    <w:rsid w:val="00FB260E"/>
    <w:rsid w:val="00FB2F6A"/>
    <w:rsid w:val="00FB343D"/>
    <w:rsid w:val="00FB38EF"/>
    <w:rsid w:val="00FB395F"/>
    <w:rsid w:val="00FB3B4D"/>
    <w:rsid w:val="00FB47DE"/>
    <w:rsid w:val="00FB546A"/>
    <w:rsid w:val="00FB5C77"/>
    <w:rsid w:val="00FB5D8A"/>
    <w:rsid w:val="00FB66D3"/>
    <w:rsid w:val="00FB6770"/>
    <w:rsid w:val="00FB67B6"/>
    <w:rsid w:val="00FB6ACD"/>
    <w:rsid w:val="00FB75D9"/>
    <w:rsid w:val="00FC0542"/>
    <w:rsid w:val="00FC0653"/>
    <w:rsid w:val="00FC091D"/>
    <w:rsid w:val="00FC0AD7"/>
    <w:rsid w:val="00FC0B31"/>
    <w:rsid w:val="00FC10ED"/>
    <w:rsid w:val="00FC18AD"/>
    <w:rsid w:val="00FC19AC"/>
    <w:rsid w:val="00FC1AA2"/>
    <w:rsid w:val="00FC1CC2"/>
    <w:rsid w:val="00FC1FEF"/>
    <w:rsid w:val="00FC2061"/>
    <w:rsid w:val="00FC215B"/>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1FC1"/>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AD2"/>
    <w:rsid w:val="00FE0B1B"/>
    <w:rsid w:val="00FE1914"/>
    <w:rsid w:val="00FE1FD3"/>
    <w:rsid w:val="00FE220D"/>
    <w:rsid w:val="00FE25DA"/>
    <w:rsid w:val="00FE2A40"/>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49476"/>
  <w15:chartTrackingRefBased/>
  <w15:docId w15:val="{5EF4E62A-BADC-467E-A44B-A951FA67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34256840">
      <w:bodyDiv w:val="1"/>
      <w:marLeft w:val="0"/>
      <w:marRight w:val="0"/>
      <w:marTop w:val="0"/>
      <w:marBottom w:val="0"/>
      <w:divBdr>
        <w:top w:val="none" w:sz="0" w:space="0" w:color="auto"/>
        <w:left w:val="none" w:sz="0" w:space="0" w:color="auto"/>
        <w:bottom w:val="none" w:sz="0" w:space="0" w:color="auto"/>
        <w:right w:val="none" w:sz="0" w:space="0" w:color="auto"/>
      </w:divBdr>
    </w:div>
    <w:div w:id="441803742">
      <w:bodyDiv w:val="1"/>
      <w:marLeft w:val="0"/>
      <w:marRight w:val="0"/>
      <w:marTop w:val="0"/>
      <w:marBottom w:val="0"/>
      <w:divBdr>
        <w:top w:val="none" w:sz="0" w:space="0" w:color="auto"/>
        <w:left w:val="none" w:sz="0" w:space="0" w:color="auto"/>
        <w:bottom w:val="none" w:sz="0" w:space="0" w:color="auto"/>
        <w:right w:val="none" w:sz="0" w:space="0" w:color="auto"/>
      </w:divBdr>
    </w:div>
    <w:div w:id="4663566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615426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707392">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579273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BDE50-FC76-4595-B2CF-FBB9BD8E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4</Pages>
  <Words>1074</Words>
  <Characters>6127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41</cp:revision>
  <cp:lastPrinted>2010-11-09T05:20:00Z</cp:lastPrinted>
  <dcterms:created xsi:type="dcterms:W3CDTF">2019-05-03T16:12:00Z</dcterms:created>
  <dcterms:modified xsi:type="dcterms:W3CDTF">2019-08-16T14:04:00Z</dcterms:modified>
</cp:coreProperties>
</file>